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3478A">
      <w:pPr>
        <w:rPr>
          <w:rFonts w:hint="eastAsia" w:ascii="等线" w:hAnsi="等线" w:eastAsia="等线" w:cs="等线"/>
        </w:rPr>
      </w:pPr>
    </w:p>
    <w:p w14:paraId="5FEC67CD">
      <w:pPr>
        <w:rPr>
          <w:rFonts w:hint="eastAsia" w:ascii="等线" w:hAnsi="等线" w:eastAsia="等线" w:cs="等线"/>
        </w:rPr>
      </w:pPr>
    </w:p>
    <w:p w14:paraId="0B57082E">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p>
    <w:p w14:paraId="646C64C5">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Savlink Detachable 8K Fiber Optical HDMI MPO Cable</w:t>
      </w:r>
    </w:p>
    <w:p w14:paraId="75C2D9C3">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Extender Kit</w:t>
      </w:r>
    </w:p>
    <w:p w14:paraId="787A5FCA">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p>
    <w:p w14:paraId="1D3186D0">
      <w:pPr>
        <w:jc w:val="center"/>
        <w:rPr>
          <w:rFonts w:hint="eastAsia" w:ascii="等线" w:hAnsi="等线" w:eastAsia="等线" w:cs="等线"/>
          <w:b/>
          <w:color w:val="E46C0A" w:themeColor="accent6" w:themeShade="BF"/>
          <w:sz w:val="44"/>
          <w:lang w:val="en-US" w:eastAsia="zh-CN"/>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8K@60Hz  ▏300M ▏48Gbps</w:t>
      </w:r>
    </w:p>
    <w:p w14:paraId="37F8914C">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 xml:space="preserve"> </w:t>
      </w:r>
    </w:p>
    <w:p w14:paraId="755E4996">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Model: (SHMP-9860)</w:t>
      </w:r>
    </w:p>
    <w:p w14:paraId="3D39FD72">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p>
    <w:p w14:paraId="74BCE54A">
      <w:pPr>
        <w:jc w:val="center"/>
        <w:rPr>
          <w:rFonts w:hint="eastAsia" w:ascii="等线" w:hAnsi="等线" w:eastAsia="等线" w:cs="等线"/>
          <w:b/>
          <w:bCs/>
          <w:color w:val="F79646" w:themeColor="accent6"/>
          <w:spacing w:val="0"/>
          <w:position w:val="0"/>
          <w:sz w:val="36"/>
          <w:szCs w:val="36"/>
          <w:lang w:val="en-US" w:eastAsia="zh-CN"/>
          <w14:textFill>
            <w14:solidFill>
              <w14:schemeClr w14:val="accent6"/>
            </w14:solidFill>
          </w14:textFill>
        </w:rPr>
      </w:pPr>
      <w:r>
        <w:rPr>
          <w:rFonts w:hint="eastAsia" w:ascii="Times New Roman" w:hAnsi="等线" w:eastAsia="微软雅黑" w:cs="等线"/>
          <w:b/>
          <w:bCs/>
          <w:color w:val="F79646" w:themeColor="accent6"/>
          <w:spacing w:val="0"/>
          <w:position w:val="0"/>
          <w:sz w:val="36"/>
          <w:szCs w:val="36"/>
          <w:lang w:val="en-US" w:eastAsia="zh-CN" w:bidi="ar-SA"/>
          <w14:textFill>
            <w14:solidFill>
              <w14:schemeClr w14:val="accent6"/>
            </w14:solidFill>
          </w14:textFill>
        </w:rPr>
        <w:t>Specification</w:t>
      </w:r>
    </w:p>
    <w:p w14:paraId="0DB530C9">
      <w:pPr>
        <w:rPr>
          <w:rFonts w:hint="eastAsia" w:ascii="等线" w:hAnsi="等线" w:eastAsia="等线" w:cs="等线"/>
          <w:lang w:eastAsia="zh-CN"/>
        </w:rPr>
      </w:pPr>
    </w:p>
    <w:p w14:paraId="7B1D4DE2">
      <w:pPr>
        <w:rPr>
          <w:rFonts w:hint="eastAsia" w:ascii="等线" w:hAnsi="等线" w:eastAsia="等线" w:cs="等线"/>
          <w:lang w:eastAsia="zh-CN"/>
        </w:rPr>
      </w:pPr>
    </w:p>
    <w:p w14:paraId="2E41C027">
      <w:pPr>
        <w:rPr>
          <w:rFonts w:hint="eastAsia" w:ascii="等线" w:hAnsi="等线" w:eastAsia="等线" w:cs="等线"/>
          <w:lang w:eastAsia="zh-CN"/>
        </w:rPr>
      </w:pPr>
    </w:p>
    <w:p w14:paraId="2B75651F">
      <w:pPr>
        <w:rPr>
          <w:rFonts w:hint="eastAsia" w:ascii="等线" w:hAnsi="等线" w:eastAsia="等线" w:cs="等线"/>
          <w:lang w:eastAsia="zh-CN"/>
        </w:rPr>
      </w:pPr>
    </w:p>
    <w:p w14:paraId="4731F9B1">
      <w:pPr>
        <w:jc w:val="center"/>
        <w:rPr>
          <w:rFonts w:hint="eastAsia" w:ascii="等线" w:hAnsi="等线" w:eastAsia="等线" w:cs="等线"/>
          <w:b/>
          <w:sz w:val="24"/>
          <w:lang w:eastAsia="zh-CN"/>
        </w:rPr>
      </w:pPr>
    </w:p>
    <w:p w14:paraId="7E15FAC4">
      <w:pPr>
        <w:jc w:val="center"/>
        <w:rPr>
          <w:rFonts w:hint="eastAsia" w:ascii="等线" w:hAnsi="等线" w:eastAsia="等线" w:cs="等线"/>
          <w:b/>
          <w:sz w:val="24"/>
          <w:lang w:eastAsia="zh-CN"/>
        </w:rPr>
      </w:pPr>
    </w:p>
    <w:p w14:paraId="13A87DAC">
      <w:pPr>
        <w:jc w:val="center"/>
        <w:rPr>
          <w:rFonts w:hint="eastAsia" w:ascii="等线" w:hAnsi="等线" w:eastAsia="等线" w:cs="等线"/>
          <w:b/>
          <w:sz w:val="24"/>
          <w:lang w:eastAsia="zh-CN"/>
        </w:rPr>
      </w:pPr>
    </w:p>
    <w:p w14:paraId="51B51EA4">
      <w:pPr>
        <w:jc w:val="center"/>
        <w:rPr>
          <w:rFonts w:hint="eastAsia" w:ascii="等线" w:hAnsi="等线" w:eastAsia="等线" w:cs="等线"/>
          <w:lang w:eastAsia="zh-CN"/>
        </w:rPr>
      </w:pPr>
      <w:r>
        <w:rPr>
          <w:rFonts w:hint="eastAsia" w:ascii="Times New Roman" w:hAnsi="等线" w:eastAsia="微软雅黑" w:cs="等线"/>
          <w:b/>
          <w:sz w:val="24"/>
          <w:szCs w:val="22"/>
          <w:lang w:val="en-US" w:eastAsia="zh-CN" w:bidi="ar-SA"/>
        </w:rPr>
        <w:t>ECN Change History Form</w:t>
      </w:r>
    </w:p>
    <w:tbl>
      <w:tblPr>
        <w:tblStyle w:val="3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04"/>
        <w:gridCol w:w="1504"/>
        <w:gridCol w:w="1504"/>
        <w:gridCol w:w="1504"/>
        <w:gridCol w:w="1504"/>
        <w:gridCol w:w="1504"/>
      </w:tblGrid>
      <w:tr w14:paraId="5D60C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4" w:type="dxa"/>
            <w:shd w:val="clear" w:color="auto" w:fill="D9E1F2"/>
          </w:tcPr>
          <w:p w14:paraId="2C656540">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Edition</w:t>
            </w:r>
          </w:p>
        </w:tc>
        <w:tc>
          <w:tcPr>
            <w:tcW w:w="1504" w:type="dxa"/>
            <w:shd w:val="clear" w:color="auto" w:fill="D9E1F2"/>
          </w:tcPr>
          <w:p w14:paraId="48EA22C3">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Release Date</w:t>
            </w:r>
          </w:p>
        </w:tc>
        <w:tc>
          <w:tcPr>
            <w:tcW w:w="1504" w:type="dxa"/>
            <w:shd w:val="clear" w:color="auto" w:fill="D9E1F2"/>
          </w:tcPr>
          <w:p w14:paraId="59447CDD">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Change Details</w:t>
            </w:r>
          </w:p>
        </w:tc>
        <w:tc>
          <w:tcPr>
            <w:tcW w:w="1504" w:type="dxa"/>
            <w:shd w:val="clear" w:color="auto" w:fill="D9E1F2"/>
          </w:tcPr>
          <w:p w14:paraId="337704F3">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Prepare</w:t>
            </w:r>
          </w:p>
        </w:tc>
        <w:tc>
          <w:tcPr>
            <w:tcW w:w="1504" w:type="dxa"/>
            <w:shd w:val="clear" w:color="auto" w:fill="D9E1F2"/>
          </w:tcPr>
          <w:p w14:paraId="7805AFDF">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Verify</w:t>
            </w:r>
          </w:p>
        </w:tc>
        <w:tc>
          <w:tcPr>
            <w:tcW w:w="1504" w:type="dxa"/>
            <w:shd w:val="clear" w:color="auto" w:fill="D9E1F2"/>
          </w:tcPr>
          <w:p w14:paraId="0D38F6CD">
            <w:pPr>
              <w:spacing w:after="0" w:line="240" w:lineRule="auto"/>
              <w:jc w:val="center"/>
              <w:rPr>
                <w:rFonts w:hint="eastAsia" w:ascii="等线" w:hAnsi="等线" w:eastAsia="等线" w:cs="等线"/>
                <w:lang w:eastAsia="zh-CN"/>
              </w:rPr>
            </w:pPr>
            <w:r>
              <w:rPr>
                <w:rFonts w:hint="eastAsia" w:ascii="Times New Roman" w:hAnsi="等线" w:eastAsia="微软雅黑" w:cs="等线"/>
                <w:b/>
                <w:sz w:val="21"/>
                <w:szCs w:val="22"/>
                <w:lang w:val="en-US" w:eastAsia="zh-CN" w:bidi="ar-SA"/>
              </w:rPr>
              <w:t>Ratify</w:t>
            </w:r>
          </w:p>
        </w:tc>
      </w:tr>
      <w:tr w14:paraId="73932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04" w:type="dxa"/>
          </w:tcPr>
          <w:p w14:paraId="6410CDE1">
            <w:pPr>
              <w:spacing w:after="0" w:line="240" w:lineRule="auto"/>
              <w:jc w:val="center"/>
              <w:rPr>
                <w:rFonts w:hint="eastAsia" w:ascii="等线" w:hAnsi="等线" w:eastAsia="等线" w:cs="等线"/>
                <w:lang w:eastAsia="zh-CN"/>
              </w:rPr>
            </w:pPr>
            <w:r>
              <w:rPr>
                <w:rFonts w:hint="eastAsia" w:ascii="Times New Roman" w:hAnsi="等线" w:eastAsia="微软雅黑" w:cs="等线"/>
                <w:sz w:val="21"/>
                <w:szCs w:val="22"/>
                <w:lang w:val="en-US" w:eastAsia="zh-CN" w:bidi="ar-SA"/>
              </w:rPr>
              <w:t>1.0</w:t>
            </w:r>
          </w:p>
        </w:tc>
        <w:tc>
          <w:tcPr>
            <w:tcW w:w="1504" w:type="dxa"/>
          </w:tcPr>
          <w:p w14:paraId="73B72699">
            <w:pPr>
              <w:spacing w:after="0" w:line="240" w:lineRule="auto"/>
              <w:jc w:val="center"/>
              <w:rPr>
                <w:rFonts w:hint="eastAsia" w:ascii="等线" w:hAnsi="等线" w:eastAsia="等线" w:cs="等线"/>
                <w:lang w:val="en-US" w:eastAsia="zh-CN"/>
              </w:rPr>
            </w:pPr>
            <w:r>
              <w:rPr>
                <w:rFonts w:hint="eastAsia" w:ascii="Times New Roman" w:hAnsi="等线" w:eastAsia="微软雅黑" w:cs="等线"/>
                <w:sz w:val="21"/>
                <w:szCs w:val="22"/>
                <w:lang w:val="en-US" w:eastAsia="zh-CN" w:bidi="ar-SA"/>
              </w:rPr>
              <w:t>2026.7.8</w:t>
            </w:r>
          </w:p>
        </w:tc>
        <w:tc>
          <w:tcPr>
            <w:tcW w:w="1504" w:type="dxa"/>
          </w:tcPr>
          <w:p w14:paraId="5450B112">
            <w:pPr>
              <w:spacing w:after="0" w:line="240" w:lineRule="auto"/>
              <w:jc w:val="center"/>
              <w:rPr>
                <w:rFonts w:hint="eastAsia" w:ascii="等线" w:hAnsi="等线" w:eastAsia="等线" w:cs="等线"/>
                <w:lang w:eastAsia="zh-CN"/>
              </w:rPr>
            </w:pPr>
            <w:r>
              <w:rPr>
                <w:rFonts w:hint="eastAsia" w:ascii="Times New Roman" w:hAnsi="等线" w:eastAsia="微软雅黑" w:cs="等线"/>
                <w:sz w:val="21"/>
                <w:szCs w:val="22"/>
                <w:lang w:val="en-US" w:eastAsia="zh-CN" w:bidi="ar-SA"/>
              </w:rPr>
              <w:t>First Edition Release</w:t>
            </w:r>
          </w:p>
        </w:tc>
        <w:tc>
          <w:tcPr>
            <w:tcW w:w="1504" w:type="dxa"/>
          </w:tcPr>
          <w:p w14:paraId="36A5D230">
            <w:pPr>
              <w:spacing w:after="0" w:line="240" w:lineRule="auto"/>
              <w:jc w:val="center"/>
              <w:rPr>
                <w:rFonts w:hint="eastAsia" w:ascii="等线" w:hAnsi="等线" w:eastAsia="等线" w:cs="等线"/>
                <w:lang w:eastAsia="zh-CN"/>
              </w:rPr>
            </w:pPr>
            <w:r>
              <w:rPr>
                <w:rFonts w:hint="eastAsia" w:ascii="Times New Roman" w:hAnsi="等线" w:eastAsia="微软雅黑" w:cs="等线"/>
                <w:sz w:val="22"/>
                <w:szCs w:val="22"/>
                <w:lang w:val="en-US" w:eastAsia="zh-CN" w:bidi="ar-SA"/>
              </w:rPr>
              <w:t>Huang Xiting</w:t>
            </w:r>
          </w:p>
        </w:tc>
        <w:tc>
          <w:tcPr>
            <w:tcW w:w="1504" w:type="dxa"/>
          </w:tcPr>
          <w:p w14:paraId="127D3C54">
            <w:pPr>
              <w:spacing w:after="0" w:line="240" w:lineRule="auto"/>
              <w:jc w:val="center"/>
              <w:rPr>
                <w:rFonts w:hint="eastAsia" w:ascii="等线" w:hAnsi="等线" w:eastAsia="等线" w:cs="等线"/>
              </w:rPr>
            </w:pPr>
          </w:p>
        </w:tc>
        <w:tc>
          <w:tcPr>
            <w:tcW w:w="1504" w:type="dxa"/>
          </w:tcPr>
          <w:p w14:paraId="69802187">
            <w:pPr>
              <w:spacing w:after="0" w:line="240" w:lineRule="auto"/>
              <w:jc w:val="center"/>
              <w:rPr>
                <w:rFonts w:hint="eastAsia" w:ascii="等线" w:hAnsi="等线" w:eastAsia="等线" w:cs="等线"/>
              </w:rPr>
            </w:pPr>
          </w:p>
        </w:tc>
      </w:tr>
    </w:tbl>
    <w:p w14:paraId="7AD5DB67">
      <w:pPr>
        <w:pStyle w:val="30"/>
        <w:keepNext w:val="0"/>
        <w:keepLines w:val="0"/>
        <w:widowControl/>
        <w:suppressLineNumbers w:val="0"/>
        <w:rPr>
          <w:rFonts w:hint="eastAsia" w:ascii="等线" w:hAnsi="等线" w:eastAsia="等线" w:cs="等线"/>
          <w:b/>
          <w:bCs/>
          <w:color w:val="E46C0A" w:themeColor="accent6" w:themeShade="BF"/>
          <w:kern w:val="0"/>
          <w:sz w:val="24"/>
          <w:szCs w:val="24"/>
          <w:lang w:val="en-US" w:eastAsia="zh-CN" w:bidi="ar"/>
        </w:rPr>
      </w:pPr>
      <w:r>
        <w:rPr>
          <w:rFonts w:hint="eastAsia" w:ascii="等线" w:hAnsi="等线" w:eastAsia="等线" w:cs="等线"/>
        </w:rPr>
        <w:br w:type="page"/>
      </w:r>
      <w:r>
        <w:rPr>
          <w:rFonts w:hint="eastAsia" w:ascii="等线" w:hAnsi="等线" w:eastAsia="等线" w:cs="等线"/>
          <w:b/>
          <w:bCs/>
          <w:color w:val="E46C0A" w:themeColor="accent6" w:themeShade="BF"/>
          <w:kern w:val="0"/>
          <w:sz w:val="24"/>
          <w:szCs w:val="24"/>
          <w:lang w:val="en-US" w:eastAsia="zh-CN" w:bidi="ar"/>
        </w:rPr>
        <w:t>Product View</w:t>
      </w:r>
    </w:p>
    <w:p w14:paraId="3A9A81D1">
      <w:pPr>
        <w:pStyle w:val="30"/>
        <w:keepNext w:val="0"/>
        <w:keepLines w:val="0"/>
        <w:widowControl/>
        <w:suppressLineNumbers w:val="0"/>
        <w:rPr>
          <w:rFonts w:hint="eastAsia" w:ascii="等线" w:hAnsi="等线" w:eastAsia="等线" w:cs="等线"/>
          <w:sz w:val="21"/>
          <w:szCs w:val="21"/>
        </w:rPr>
      </w:pPr>
      <w:r>
        <w:rPr>
          <w:rStyle w:val="134"/>
          <w:rFonts w:hint="eastAsia" w:ascii="等线" w:hAnsi="等线" w:eastAsia="等线" w:cs="等线"/>
          <w:color w:val="E46C0A" w:themeColor="accent6" w:themeShade="BF"/>
        </w:rPr>
        <w:t>S</w:t>
      </w:r>
      <w:r>
        <w:rPr>
          <w:rStyle w:val="134"/>
          <w:rFonts w:hint="eastAsia" w:ascii="等线" w:hAnsi="等线" w:eastAsia="等线" w:cs="等线"/>
          <w:color w:val="E46C0A" w:themeColor="accent6" w:themeShade="BF"/>
          <w:sz w:val="21"/>
          <w:szCs w:val="21"/>
        </w:rPr>
        <w:t>AVLINK 8K Fiber Optical HDMI 2.1 Extender Kit</w:t>
      </w:r>
      <w:r>
        <w:rPr>
          <w:rFonts w:hint="eastAsia" w:ascii="等线" w:hAnsi="等线" w:eastAsia="等线" w:cs="等线"/>
          <w:sz w:val="21"/>
          <w:szCs w:val="21"/>
        </w:rPr>
        <w:t xml:space="preserve"> redefines professional AV connectivity with its pure fiber optic architecture. </w:t>
      </w:r>
      <w:r>
        <w:rPr>
          <w:rFonts w:hint="eastAsia" w:ascii="等线" w:hAnsi="等线" w:eastAsia="等线" w:cs="等线"/>
          <w:sz w:val="21"/>
          <w:szCs w:val="21"/>
          <w:lang w:val="en-US" w:eastAsia="zh-CN"/>
        </w:rPr>
        <w:t>T</w:t>
      </w:r>
      <w:r>
        <w:rPr>
          <w:rFonts w:hint="eastAsia" w:ascii="等线" w:hAnsi="等线" w:eastAsia="等线" w:cs="等线"/>
          <w:sz w:val="21"/>
          <w:szCs w:val="21"/>
        </w:rPr>
        <w:t>his cutting-edge solution utilizes high-performance VCSEL lasers and photoelectric modules to deliver full HDMI 2.1 performance, supporting 48Gbps bandwidth, 8K@60Hz resolution, HDR, VRR, and eARC over extended distances without signal degradation.</w:t>
      </w:r>
    </w:p>
    <w:p w14:paraId="14CC0477">
      <w:pPr>
        <w:pStyle w:val="30"/>
        <w:keepNext w:val="0"/>
        <w:keepLines w:val="0"/>
        <w:widowControl/>
        <w:suppressLineNumbers w:val="0"/>
        <w:rPr>
          <w:rFonts w:hint="eastAsia" w:ascii="等线" w:hAnsi="等线" w:eastAsia="等线" w:cs="等线"/>
          <w:sz w:val="21"/>
          <w:szCs w:val="21"/>
        </w:rPr>
      </w:pPr>
      <w:r>
        <w:rPr>
          <w:rFonts w:hint="eastAsia" w:ascii="等线" w:hAnsi="等线" w:eastAsia="等线" w:cs="等线"/>
          <w:sz w:val="21"/>
          <w:szCs w:val="21"/>
        </w:rPr>
        <w:t xml:space="preserve"> Its ultra-slim, flexible design and MPO-based modularity revolutionize installations, allowing HDMI connectors to be replaced independently without rewiring. The pure fiber design ensures complete immunity to EMI, while the low-power architecture and auto standby mode minimize energy consumption. Requiring only a 5V USB power supply, it is perfectly suited for in-wall deployments. Ideal for 8K home theaters, esports, broadcast, and medical imaging, this kit offers unparalleled reliability and future-proof scalability for demanding ProAV environments.</w:t>
      </w:r>
    </w:p>
    <w:p w14:paraId="11FA24C1">
      <w:pPr>
        <w:pStyle w:val="30"/>
        <w:keepNext w:val="0"/>
        <w:keepLines w:val="0"/>
        <w:widowControl/>
        <w:suppressLineNumbers w:val="0"/>
        <w:rPr>
          <w:rFonts w:hint="eastAsia" w:ascii="等线" w:hAnsi="等线" w:eastAsia="等线" w:cs="等线"/>
          <w:kern w:val="0"/>
          <w:sz w:val="21"/>
          <w:szCs w:val="21"/>
          <w:lang w:val="en-US" w:eastAsia="zh-CN" w:bidi="ar"/>
        </w:rPr>
      </w:pPr>
      <w:r>
        <w:rPr>
          <w:rFonts w:hint="default" w:ascii="等线" w:hAnsi="等线" w:eastAsia="等线" w:cs="等线"/>
          <w:kern w:val="0"/>
          <w:sz w:val="21"/>
          <w:szCs w:val="21"/>
          <w:lang w:val="en-US" w:eastAsia="zh-CN" w:bidi="ar"/>
        </w:rPr>
        <w:t>The special stainless steel armored structure of the cable ensures bend flexibility, tensile strength, compression resistance, and tangle-free for durability and reliable performance</w:t>
      </w:r>
      <w:r>
        <w:rPr>
          <w:rFonts w:hint="eastAsia" w:ascii="等线" w:hAnsi="等线" w:eastAsia="等线" w:cs="等线"/>
          <w:kern w:val="0"/>
          <w:sz w:val="21"/>
          <w:szCs w:val="21"/>
          <w:lang w:val="en-US" w:eastAsia="zh-CN" w:bidi="ar"/>
        </w:rPr>
        <w:t>。</w:t>
      </w:r>
    </w:p>
    <w:p w14:paraId="5318AF41">
      <w:pPr>
        <w:keepNext w:val="0"/>
        <w:keepLines w:val="0"/>
        <w:widowControl/>
        <w:suppressLineNumbers w:val="0"/>
        <w:jc w:val="left"/>
        <w:rPr>
          <w:rFonts w:hint="eastAsia" w:ascii="等线" w:hAnsi="等线" w:eastAsia="等线" w:cs="等线"/>
          <w:kern w:val="0"/>
          <w:sz w:val="22"/>
          <w:szCs w:val="22"/>
          <w:lang w:val="en-US" w:eastAsia="zh-CN" w:bidi="ar"/>
        </w:rPr>
      </w:pPr>
    </w:p>
    <w:p w14:paraId="0EEBDEA9">
      <w:pPr>
        <w:keepNext w:val="0"/>
        <w:keepLines w:val="0"/>
        <w:widowControl/>
        <w:suppressLineNumbers w:val="0"/>
        <w:jc w:val="center"/>
        <w:rPr>
          <w:rFonts w:hint="eastAsia" w:ascii="等线" w:hAnsi="等线" w:eastAsia="等线" w:cs="等线"/>
          <w:kern w:val="0"/>
          <w:sz w:val="22"/>
          <w:szCs w:val="22"/>
          <w:lang w:val="en-US" w:eastAsia="zh-CN" w:bidi="ar"/>
        </w:rPr>
      </w:pPr>
      <w:r>
        <w:rPr>
          <w:rFonts w:hint="eastAsia" w:ascii="等线" w:hAnsi="等线" w:eastAsia="等线" w:cs="等线"/>
          <w:lang w:eastAsia="zh-CN"/>
        </w:rPr>
        <w:drawing>
          <wp:inline distT="0" distB="0" distL="114300" distR="114300">
            <wp:extent cx="2453005" cy="2209800"/>
            <wp:effectExtent l="0" t="0" r="4445" b="0"/>
            <wp:docPr id="6" name="图片 6" descr="a89c3a42e29b5dcf8fabc33662dc3e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89c3a42e29b5dcf8fabc33662dc3ee4"/>
                    <pic:cNvPicPr>
                      <a:picLocks noChangeAspect="1"/>
                    </pic:cNvPicPr>
                  </pic:nvPicPr>
                  <pic:blipFill>
                    <a:blip r:embed="rId8"/>
                    <a:stretch>
                      <a:fillRect/>
                    </a:stretch>
                  </pic:blipFill>
                  <pic:spPr>
                    <a:xfrm>
                      <a:off x="0" y="0"/>
                      <a:ext cx="2453005" cy="2209800"/>
                    </a:xfrm>
                    <a:prstGeom prst="rect">
                      <a:avLst/>
                    </a:prstGeom>
                  </pic:spPr>
                </pic:pic>
              </a:graphicData>
            </a:graphic>
          </wp:inline>
        </w:drawing>
      </w:r>
    </w:p>
    <w:p w14:paraId="1ED650A1">
      <w:pPr>
        <w:keepNext w:val="0"/>
        <w:keepLines w:val="0"/>
        <w:widowControl/>
        <w:suppressLineNumbers w:val="0"/>
        <w:jc w:val="center"/>
        <w:rPr>
          <w:rFonts w:hint="eastAsia" w:ascii="等线" w:hAnsi="等线" w:eastAsia="等线" w:cs="等线"/>
          <w:kern w:val="0"/>
          <w:sz w:val="22"/>
          <w:szCs w:val="22"/>
          <w:lang w:val="en-US" w:eastAsia="zh-CN" w:bidi="ar"/>
        </w:rPr>
      </w:pPr>
      <w:r>
        <w:rPr>
          <w:rFonts w:hint="eastAsia" w:ascii="等线" w:hAnsi="等线" w:eastAsia="等线" w:cs="等线"/>
        </w:rPr>
        <w:drawing>
          <wp:inline distT="0" distB="0" distL="114300" distR="114300">
            <wp:extent cx="2701290" cy="2349500"/>
            <wp:effectExtent l="0" t="0" r="3810"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701290" cy="2349500"/>
                    </a:xfrm>
                    <a:prstGeom prst="rect">
                      <a:avLst/>
                    </a:prstGeom>
                    <a:noFill/>
                    <a:ln>
                      <a:noFill/>
                    </a:ln>
                  </pic:spPr>
                </pic:pic>
              </a:graphicData>
            </a:graphic>
          </wp:inline>
        </w:drawing>
      </w:r>
    </w:p>
    <w:p w14:paraId="4A1B046A">
      <w:pPr>
        <w:jc w:val="center"/>
        <w:rPr>
          <w:rFonts w:hint="eastAsia" w:ascii="等线" w:hAnsi="等线" w:eastAsia="等线" w:cs="等线"/>
          <w:lang w:eastAsia="zh-CN"/>
        </w:rPr>
      </w:pPr>
    </w:p>
    <w:p w14:paraId="05886296">
      <w:pPr>
        <w:rPr>
          <w:rFonts w:hint="eastAsia" w:ascii="等线" w:hAnsi="等线" w:eastAsia="等线" w:cs="等线"/>
          <w:color w:val="000000" w:themeColor="text1"/>
          <w14:textFill>
            <w14:solidFill>
              <w14:schemeClr w14:val="tx1"/>
            </w14:solidFill>
          </w14:textFill>
        </w:rPr>
      </w:pPr>
    </w:p>
    <w:p w14:paraId="5C3ABFCD">
      <w:pPr>
        <w:numPr>
          <w:ilvl w:val="0"/>
          <w:numId w:val="7"/>
        </w:numPr>
        <w:rPr>
          <w:rFonts w:hint="eastAsia" w:ascii="等线" w:hAnsi="等线" w:eastAsia="等线" w:cs="等线"/>
          <w:b/>
          <w:bCs/>
          <w:color w:val="E46C0A" w:themeColor="accent6" w:themeShade="BF"/>
          <w:kern w:val="0"/>
          <w:sz w:val="28"/>
          <w:szCs w:val="28"/>
          <w:lang w:val="en-US" w:eastAsia="zh-CN" w:bidi="ar"/>
        </w:rPr>
      </w:pPr>
      <w:r>
        <w:rPr>
          <w:rFonts w:hint="eastAsia" w:ascii="等线" w:hAnsi="等线" w:eastAsia="等线" w:cs="等线"/>
          <w:b/>
          <w:bCs/>
          <w:color w:val="E46C0A" w:themeColor="accent6" w:themeShade="BF"/>
          <w:kern w:val="0"/>
          <w:sz w:val="28"/>
          <w:szCs w:val="28"/>
          <w:lang w:val="en-US" w:eastAsia="zh-CN" w:bidi="ar"/>
        </w:rPr>
        <w:t>Product Features</w:t>
      </w:r>
    </w:p>
    <w:p w14:paraId="42EC9C2B">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Fully compliant with HDMI 2.1; backward compatible with HDMI 2.0/1.4.</w:t>
      </w:r>
    </w:p>
    <w:p w14:paraId="084904AF">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Up to 48 Gbps bandwidth; supports 8K@60Hz &amp; 4K@120Hz stably.</w:t>
      </w:r>
    </w:p>
    <w:p w14:paraId="7F4576A8">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·Supports HDR, HDR10+, and Dolby Vision for vivid, true-to-life visuals.</w:t>
      </w:r>
    </w:p>
    <w:p w14:paraId="7CDFEF5B">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·Transmits uncompressed Dolby Atmos, DTS:X, TRUE-HD; up to 32 channels lossless.</w:t>
      </w:r>
    </w:p>
    <w:p w14:paraId="3B55E880">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7-core OM3 multimode fiber enables stable EDID/HDCP bidirectional communication.</w:t>
      </w:r>
    </w:p>
    <w:p w14:paraId="1BDA7163">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 xml:space="preserve"> Hot-swappable MPO connectors simplify installation and future maintenance.</w:t>
      </w:r>
    </w:p>
    <w:p w14:paraId="3E16B5FE">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Supports VRR, ALLM, QFT, QMS—low latency, no tearing or lag.</w:t>
      </w:r>
    </w:p>
    <w:p w14:paraId="61A7D0D4">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Compatible with ARC/eARC; supports HDCP 1.4/2.2/2.3 across AV devices.</w:t>
      </w:r>
    </w:p>
    <w:p w14:paraId="3665AF64">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 xml:space="preserve"> EDID auto-negotiation; plug-and-play, driver-free operation.</w:t>
      </w:r>
    </w:p>
    <w:p w14:paraId="59055095">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Pure fiber design; immune to EMI/RFI; zero attenuation over long distance.</w:t>
      </w:r>
    </w:p>
    <w:p w14:paraId="6E9F1244">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 xml:space="preserve"> Ultra-slim, lightweight LSZH jacket; ideal for tight-space cabling.</w:t>
      </w:r>
    </w:p>
    <w:p w14:paraId="52E26A47">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 xml:space="preserve"> Low-power, high-stability design; supports OEM/ODM customization.</w:t>
      </w:r>
    </w:p>
    <w:p w14:paraId="53C2B59C">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 xml:space="preserve"> For reliable CEC, connect both ends to a stable 5V USB power source</w:t>
      </w:r>
    </w:p>
    <w:p w14:paraId="260B8EC2">
      <w:pPr>
        <w:keepNext w:val="0"/>
        <w:keepLines w:val="0"/>
        <w:widowControl/>
        <w:numPr>
          <w:ilvl w:val="0"/>
          <w:numId w:val="8"/>
        </w:numPr>
        <w:suppressLineNumbers w:val="0"/>
        <w:ind w:left="420" w:leftChars="0" w:hanging="420" w:firstLineChars="0"/>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Rugged Armored Protection</w:t>
      </w:r>
    </w:p>
    <w:p w14:paraId="503A2BBF">
      <w:pPr>
        <w:rPr>
          <w:rFonts w:hint="eastAsia" w:ascii="等线" w:hAnsi="等线" w:eastAsia="等线" w:cs="等线"/>
          <w:color w:val="000000" w:themeColor="text1"/>
          <w:lang w:val="en-US" w:eastAsia="zh-CN"/>
          <w14:textFill>
            <w14:solidFill>
              <w14:schemeClr w14:val="tx1"/>
            </w14:solidFill>
          </w14:textFill>
        </w:rPr>
      </w:pPr>
    </w:p>
    <w:p w14:paraId="4D4954C0">
      <w:pPr>
        <w:numPr>
          <w:ilvl w:val="0"/>
          <w:numId w:val="7"/>
        </w:numPr>
        <w:rPr>
          <w:rFonts w:hint="eastAsia" w:ascii="等线" w:hAnsi="等线" w:eastAsia="等线" w:cs="等线"/>
          <w:b/>
          <w:bCs/>
          <w:color w:val="E46C0A" w:themeColor="accent6" w:themeShade="BF"/>
          <w:kern w:val="0"/>
          <w:sz w:val="28"/>
          <w:szCs w:val="28"/>
          <w:lang w:val="en-US" w:eastAsia="zh-CN" w:bidi="ar"/>
        </w:rPr>
      </w:pPr>
      <w:r>
        <w:rPr>
          <w:rFonts w:hint="eastAsia" w:ascii="等线" w:hAnsi="等线" w:eastAsia="等线" w:cs="等线"/>
          <w:b/>
          <w:bCs/>
          <w:color w:val="E46C0A" w:themeColor="accent6" w:themeShade="BF"/>
          <w:kern w:val="0"/>
          <w:sz w:val="28"/>
          <w:szCs w:val="28"/>
          <w:lang w:val="en-US" w:eastAsia="zh-CN" w:bidi="ar"/>
        </w:rPr>
        <w:t>Performance Parameters</w:t>
      </w:r>
    </w:p>
    <w:p w14:paraId="1431E30C">
      <w:pPr>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2.1 The performance specifications of the Detachable 8K Fiber Optical HDMI MPO Cable Extender Kit are shown in the table below:</w:t>
      </w:r>
    </w:p>
    <w:tbl>
      <w:tblPr>
        <w:tblStyle w:val="34"/>
        <w:tblpPr w:leftFromText="180" w:rightFromText="180" w:vertAnchor="text" w:horzAnchor="page" w:tblpX="1142" w:tblpY="129"/>
        <w:tblOverlap w:val="never"/>
        <w:tblW w:w="103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20"/>
        <w:gridCol w:w="7635"/>
      </w:tblGrid>
      <w:tr w14:paraId="65FB1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tblHeader/>
        </w:trPr>
        <w:tc>
          <w:tcPr>
            <w:tcW w:w="2720" w:type="dxa"/>
            <w:tcBorders>
              <w:top w:val="single" w:color="F79646" w:themeColor="accent6" w:sz="6" w:space="0"/>
              <w:left w:val="single" w:color="F79646" w:themeColor="accent6" w:sz="6" w:space="0"/>
              <w:bottom w:val="single" w:color="F79646" w:themeColor="accent6" w:sz="6" w:space="0"/>
              <w:right w:val="single" w:color="FBD4B4" w:themeColor="accent6" w:themeTint="66" w:sz="6" w:space="0"/>
            </w:tcBorders>
            <w:shd w:val="clear" w:color="auto" w:fill="F79646" w:themeFill="accent6"/>
            <w:vAlign w:val="center"/>
          </w:tcPr>
          <w:p w14:paraId="0C30F7CA">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Parameter</w:t>
            </w:r>
          </w:p>
        </w:tc>
        <w:tc>
          <w:tcPr>
            <w:tcW w:w="7635" w:type="dxa"/>
            <w:tcBorders>
              <w:top w:val="single" w:color="F79646" w:themeColor="accent6" w:sz="6" w:space="0"/>
              <w:left w:val="single" w:color="FBD4B4" w:themeColor="accent6" w:themeTint="66" w:sz="6" w:space="0"/>
              <w:bottom w:val="single" w:color="F79646" w:themeColor="accent6" w:sz="6" w:space="0"/>
              <w:right w:val="single" w:color="F79646" w:themeColor="accent6" w:sz="6" w:space="0"/>
            </w:tcBorders>
            <w:shd w:val="clear" w:color="auto" w:fill="F79646" w:themeFill="accent6"/>
            <w:vAlign w:val="center"/>
          </w:tcPr>
          <w:p w14:paraId="3065C0C3">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Specification</w:t>
            </w:r>
          </w:p>
        </w:tc>
      </w:tr>
      <w:tr w14:paraId="68B80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trPr>
        <w:tc>
          <w:tcPr>
            <w:tcW w:w="2720" w:type="dxa"/>
            <w:tcBorders>
              <w:top w:val="single" w:color="F79646" w:themeColor="accent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21CDD84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Interface type</w:t>
            </w:r>
          </w:p>
        </w:tc>
        <w:tc>
          <w:tcPr>
            <w:tcW w:w="7635" w:type="dxa"/>
            <w:tcBorders>
              <w:top w:val="single" w:color="F79646" w:themeColor="accent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0FF26C1E">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2 x  HDMI  Male  Golden  Plated</w:t>
            </w:r>
          </w:p>
        </w:tc>
      </w:tr>
      <w:tr w14:paraId="40B68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63606EA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Maximum bandwidth</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0782ECE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48 Gbps</w:t>
            </w:r>
          </w:p>
        </w:tc>
      </w:tr>
      <w:tr w14:paraId="0BE25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478623AA">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Maximum Resolution</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291A64B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7680 × 4320 @ 60Hz (8K UHD) 1080p/1440p @ 240Hz, 4K @ 120Hz, 5K @ 60Hz</w:t>
            </w:r>
          </w:p>
        </w:tc>
      </w:tr>
      <w:tr w14:paraId="6CE7F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4B7003F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Color Format</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1D73D22E">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RGB，YCbCr 4:4:4 / 4:2:2 / 4:2:0</w:t>
            </w:r>
          </w:p>
        </w:tc>
      </w:tr>
      <w:tr w14:paraId="00E9E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5907F236">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Color Depth</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2595C00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8-bit, 10-bit, 12-bit</w:t>
            </w:r>
          </w:p>
        </w:tc>
      </w:tr>
      <w:tr w14:paraId="7F06C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1E5D11B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HDR support</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58D69F7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Dynamic HDR, HDR10, HDR10+</w:t>
            </w:r>
          </w:p>
        </w:tc>
      </w:tr>
      <w:tr w14:paraId="5FC09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3705448B">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HDCP​</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7F9E274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HDCP 2.3</w:t>
            </w:r>
          </w:p>
        </w:tc>
      </w:tr>
      <w:tr w14:paraId="13E97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0AD77478">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Audio Support</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6546BFF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DSC 1.2a eARC ,Dolby,Atoms 7.1</w:t>
            </w:r>
          </w:p>
        </w:tc>
      </w:tr>
      <w:tr w14:paraId="36FD1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4BDC91F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Game Features</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3AF84AA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kern w:val="0"/>
                <w:sz w:val="21"/>
                <w:szCs w:val="21"/>
                <w:lang w:val="en-US" w:eastAsia="zh-CN" w:bidi="ar"/>
              </w:rPr>
              <w:t>VRR, ALLM, QFT, QMS</w:t>
            </w:r>
          </w:p>
        </w:tc>
      </w:tr>
      <w:tr w14:paraId="324A2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46397AD8">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Power input</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3C5C5055">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USB 5V</w:t>
            </w:r>
          </w:p>
        </w:tc>
      </w:tr>
      <w:tr w14:paraId="1211A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30D70A70">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Working Voltage Range</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3A98903E">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4.9V ~ 5.3V</w:t>
            </w:r>
          </w:p>
        </w:tc>
      </w:tr>
      <w:tr w14:paraId="4B25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48DFB54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Power Consumption</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7CF1B45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280mW ~ 600mW</w:t>
            </w:r>
          </w:p>
        </w:tc>
      </w:tr>
      <w:tr w14:paraId="75D69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2FAC323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Cable</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493BACB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7C *50/125 μm OM3 multi mode optical fiber</w:t>
            </w:r>
          </w:p>
        </w:tc>
      </w:tr>
      <w:tr w14:paraId="486FE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4689EB2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O/E Converter</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5FE156F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VCSEL (850 nm)</w:t>
            </w:r>
          </w:p>
        </w:tc>
      </w:tr>
      <w:tr w14:paraId="7B2A3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02E728A2">
            <w:pPr>
              <w:pStyle w:val="30"/>
              <w:keepNext w:val="0"/>
              <w:keepLines w:val="0"/>
              <w:widowControl/>
              <w:suppressLineNumbers w:val="0"/>
              <w:snapToGrid w:val="0"/>
              <w:spacing w:line="240" w:lineRule="auto"/>
              <w:ind w:left="0" w:leftChars="0" w:right="0" w:rightChars="0" w:firstLine="0" w:firstLineChars="0"/>
              <w:jc w:val="left"/>
              <w:textAlignment w:val="center"/>
              <w:rPr>
                <w:rFonts w:hint="default"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Max Length</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08A1FD9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300 m (1000 ft)</w:t>
            </w:r>
          </w:p>
        </w:tc>
      </w:tr>
      <w:tr w14:paraId="534EA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1D440B9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Cable OD</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10F959E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kern w:val="0"/>
                <w:sz w:val="21"/>
                <w:szCs w:val="21"/>
                <w:lang w:val="en-US" w:eastAsia="zh-CN" w:bidi="ar"/>
              </w:rPr>
              <w:t>3.0 mm</w:t>
            </w:r>
          </w:p>
        </w:tc>
      </w:tr>
      <w:tr w14:paraId="25CAB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721127A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External Material</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41DF1E7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kern w:val="0"/>
                <w:sz w:val="21"/>
                <w:szCs w:val="21"/>
                <w:lang w:val="en-US" w:eastAsia="zh-CN" w:bidi="ar"/>
              </w:rPr>
              <w:t>LSZH: Low-smoke, halogen-free</w:t>
            </w:r>
          </w:p>
        </w:tc>
      </w:tr>
      <w:tr w14:paraId="78097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58841AA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Min Bending radius</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41D09D0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kern w:val="0"/>
                <w:sz w:val="21"/>
                <w:szCs w:val="21"/>
                <w:lang w:val="en-US" w:eastAsia="zh-CN" w:bidi="ar"/>
              </w:rPr>
              <w:t>30nn</w:t>
            </w:r>
          </w:p>
        </w:tc>
      </w:tr>
      <w:tr w14:paraId="2BA54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6F71CB9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Insertion/ Removal lifespan</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6020E8C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 10,000 times</w:t>
            </w:r>
          </w:p>
        </w:tc>
      </w:tr>
      <w:tr w14:paraId="138CB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5260D443">
            <w:pPr>
              <w:pStyle w:val="30"/>
              <w:keepNext w:val="0"/>
              <w:keepLines w:val="0"/>
              <w:widowControl/>
              <w:suppressLineNumbers w:val="0"/>
              <w:snapToGrid w:val="0"/>
              <w:spacing w:line="240" w:lineRule="auto"/>
              <w:ind w:left="0" w:leftChars="0" w:right="0" w:rightChars="0" w:firstLine="0" w:firstLineChars="0"/>
              <w:jc w:val="left"/>
              <w:textAlignment w:val="center"/>
              <w:rPr>
                <w:rFonts w:hint="default"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Instation</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5913672D">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Simply connect the MPO male connector to the front, the MPO female connector to the rear of the keystone for a quick and hassle-free setup</w:t>
            </w:r>
          </w:p>
        </w:tc>
      </w:tr>
      <w:tr w14:paraId="5DECB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42E29F9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 xml:space="preserve">Working Temperature </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446A655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0°C to +70°C</w:t>
            </w:r>
          </w:p>
        </w:tc>
      </w:tr>
      <w:tr w14:paraId="4AFB1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2839559D">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Storage Temperature</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1772615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-20°C to +70°C</w:t>
            </w:r>
          </w:p>
        </w:tc>
      </w:tr>
      <w:tr w14:paraId="5ABF7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621079AE">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Working Humidity</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29B5002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Relative humidity ranges from 5% to 85% (non-condensing type).</w:t>
            </w:r>
          </w:p>
        </w:tc>
      </w:tr>
      <w:tr w14:paraId="2DC94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top"/>
          </w:tcPr>
          <w:p w14:paraId="674745E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Storage Humidity</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top"/>
          </w:tcPr>
          <w:p w14:paraId="0D21897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Relative humidity ranges from 5% to 85% (non-condensing type).</w:t>
            </w:r>
          </w:p>
        </w:tc>
      </w:tr>
      <w:tr w14:paraId="66C22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717AAEC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Product Certification</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258402C0">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CE / FCC / RoHS / REACH</w:t>
            </w:r>
          </w:p>
        </w:tc>
      </w:tr>
      <w:tr w14:paraId="25CF3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187F14C1">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Cable Length</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7A222820">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An MPO cable is optional; the length can be customized.</w:t>
            </w:r>
          </w:p>
        </w:tc>
      </w:tr>
      <w:tr w14:paraId="37541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2720" w:type="dxa"/>
            <w:tcBorders>
              <w:top w:val="single" w:color="FBD4B4" w:themeColor="accent6" w:themeTint="66" w:sz="6" w:space="0"/>
              <w:left w:val="single" w:color="F79646" w:themeColor="accent6" w:sz="6" w:space="0"/>
              <w:bottom w:val="single" w:color="FBD4B4" w:themeColor="accent6" w:themeTint="66" w:sz="6" w:space="0"/>
              <w:right w:val="single" w:color="FBD4B4" w:themeColor="accent6" w:themeTint="66" w:sz="6" w:space="0"/>
            </w:tcBorders>
            <w:shd w:val="clear" w:color="auto" w:fill="FFFFFF"/>
            <w:vAlign w:val="center"/>
          </w:tcPr>
          <w:p w14:paraId="0B6145AB">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Shell</w:t>
            </w:r>
          </w:p>
        </w:tc>
        <w:tc>
          <w:tcPr>
            <w:tcW w:w="7635" w:type="dxa"/>
            <w:tcBorders>
              <w:top w:val="single" w:color="FBD4B4" w:themeColor="accent6" w:themeTint="66" w:sz="6" w:space="0"/>
              <w:left w:val="single" w:color="FBD4B4" w:themeColor="accent6" w:themeTint="66" w:sz="6" w:space="0"/>
              <w:bottom w:val="single" w:color="FBD4B4" w:themeColor="accent6" w:themeTint="66" w:sz="6" w:space="0"/>
              <w:right w:val="single" w:color="F79646" w:themeColor="accent6" w:sz="6" w:space="0"/>
            </w:tcBorders>
            <w:shd w:val="clear" w:color="auto" w:fill="FFFFFF"/>
            <w:vAlign w:val="center"/>
          </w:tcPr>
          <w:p w14:paraId="1D496BB0">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Zinc shell or custom design</w:t>
            </w:r>
          </w:p>
        </w:tc>
      </w:tr>
      <w:tr w14:paraId="2AEC4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2720" w:type="dxa"/>
            <w:tcBorders>
              <w:top w:val="single" w:color="FBD4B4" w:themeColor="accent6" w:themeTint="66" w:sz="6" w:space="0"/>
              <w:left w:val="single" w:color="F79646" w:themeColor="accent6" w:sz="6" w:space="0"/>
              <w:bottom w:val="single" w:color="F79646" w:themeColor="accent6" w:sz="6" w:space="0"/>
              <w:right w:val="single" w:color="FBD4B4" w:themeColor="accent6" w:themeTint="66" w:sz="6" w:space="0"/>
            </w:tcBorders>
            <w:shd w:val="clear" w:color="auto" w:fill="FFFFFF"/>
            <w:vAlign w:val="center"/>
          </w:tcPr>
          <w:p w14:paraId="4B2E4EC5">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Package</w:t>
            </w:r>
          </w:p>
        </w:tc>
        <w:tc>
          <w:tcPr>
            <w:tcW w:w="7635" w:type="dxa"/>
            <w:tcBorders>
              <w:top w:val="single" w:color="FBD4B4" w:themeColor="accent6" w:themeTint="66" w:sz="6" w:space="0"/>
              <w:left w:val="single" w:color="FBD4B4" w:themeColor="accent6" w:themeTint="66" w:sz="6" w:space="0"/>
              <w:bottom w:val="single" w:color="F79646" w:themeColor="accent6" w:sz="6" w:space="0"/>
              <w:right w:val="single" w:color="F79646" w:themeColor="accent6" w:sz="6" w:space="0"/>
            </w:tcBorders>
            <w:shd w:val="clear" w:color="auto" w:fill="FFFFFF"/>
            <w:vAlign w:val="center"/>
          </w:tcPr>
          <w:p w14:paraId="16FDCF0E">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1PCS/ Anti-Static Foil Bag +Yellow Box</w:t>
            </w:r>
          </w:p>
        </w:tc>
      </w:tr>
    </w:tbl>
    <w:p w14:paraId="015C3E47">
      <w:pPr>
        <w:jc w:val="left"/>
        <w:rPr>
          <w:rFonts w:hint="eastAsia" w:ascii="等线" w:hAnsi="等线" w:eastAsia="等线" w:cs="等线"/>
          <w:color w:val="000000"/>
          <w:kern w:val="0"/>
          <w:sz w:val="21"/>
          <w:szCs w:val="21"/>
          <w:lang w:val="en-US" w:eastAsia="zh-CN" w:bidi="ar"/>
        </w:rPr>
      </w:pPr>
    </w:p>
    <w:p w14:paraId="2CD92647">
      <w:pPr>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2.2 Supported Video Format Parameters:</w:t>
      </w:r>
    </w:p>
    <w:tbl>
      <w:tblPr>
        <w:tblStyle w:val="33"/>
        <w:tblW w:w="9875" w:type="dxa"/>
        <w:jc w:val="center"/>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Layout w:type="autofit"/>
        <w:tblCellMar>
          <w:top w:w="0" w:type="dxa"/>
          <w:left w:w="10" w:type="dxa"/>
          <w:bottom w:w="0" w:type="dxa"/>
          <w:right w:w="10" w:type="dxa"/>
        </w:tblCellMar>
      </w:tblPr>
      <w:tblGrid>
        <w:gridCol w:w="1729"/>
        <w:gridCol w:w="2513"/>
        <w:gridCol w:w="3561"/>
        <w:gridCol w:w="2072"/>
      </w:tblGrid>
      <w:tr w14:paraId="603FB758">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368" w:hRule="atLeast"/>
          <w:tblHeader/>
          <w:jc w:val="center"/>
        </w:trPr>
        <w:tc>
          <w:tcPr>
            <w:tcW w:w="1729" w:type="dxa"/>
            <w:tcBorders>
              <w:tl2br w:val="nil"/>
              <w:tr2bl w:val="nil"/>
            </w:tcBorders>
            <w:shd w:val="clear" w:color="auto" w:fill="F79646" w:themeFill="accent6"/>
            <w:tcMar>
              <w:top w:w="60" w:type="dxa"/>
              <w:left w:w="120" w:type="dxa"/>
              <w:bottom w:w="30" w:type="dxa"/>
              <w:right w:w="120" w:type="dxa"/>
            </w:tcMar>
            <w:vAlign w:val="center"/>
          </w:tcPr>
          <w:p w14:paraId="6288B0F0">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Resolution ratio</w:t>
            </w:r>
          </w:p>
        </w:tc>
        <w:tc>
          <w:tcPr>
            <w:tcW w:w="2513" w:type="dxa"/>
            <w:tcBorders>
              <w:tl2br w:val="nil"/>
              <w:tr2bl w:val="nil"/>
            </w:tcBorders>
            <w:shd w:val="clear" w:color="auto" w:fill="F79646" w:themeFill="accent6"/>
            <w:tcMar>
              <w:top w:w="60" w:type="dxa"/>
              <w:left w:w="120" w:type="dxa"/>
              <w:bottom w:w="30" w:type="dxa"/>
              <w:right w:w="120" w:type="dxa"/>
            </w:tcMar>
            <w:vAlign w:val="center"/>
          </w:tcPr>
          <w:p w14:paraId="663477AD">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Refresh rate</w:t>
            </w:r>
          </w:p>
        </w:tc>
        <w:tc>
          <w:tcPr>
            <w:tcW w:w="0" w:type="auto"/>
            <w:tcBorders>
              <w:tl2br w:val="nil"/>
              <w:tr2bl w:val="nil"/>
            </w:tcBorders>
            <w:shd w:val="clear" w:color="auto" w:fill="F79646" w:themeFill="accent6"/>
            <w:tcMar>
              <w:top w:w="60" w:type="dxa"/>
              <w:left w:w="120" w:type="dxa"/>
              <w:bottom w:w="30" w:type="dxa"/>
              <w:right w:w="120" w:type="dxa"/>
            </w:tcMar>
            <w:vAlign w:val="center"/>
          </w:tcPr>
          <w:p w14:paraId="1A5C440B">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Color Format</w:t>
            </w:r>
          </w:p>
        </w:tc>
        <w:tc>
          <w:tcPr>
            <w:tcW w:w="2072" w:type="dxa"/>
            <w:tcBorders>
              <w:tl2br w:val="nil"/>
              <w:tr2bl w:val="nil"/>
            </w:tcBorders>
            <w:shd w:val="clear" w:color="auto" w:fill="F79646" w:themeFill="accent6"/>
            <w:tcMar>
              <w:top w:w="60" w:type="dxa"/>
              <w:left w:w="120" w:type="dxa"/>
              <w:bottom w:w="30" w:type="dxa"/>
              <w:right w:w="120" w:type="dxa"/>
            </w:tcMar>
            <w:vAlign w:val="center"/>
          </w:tcPr>
          <w:p w14:paraId="6957FCC3">
            <w:pPr>
              <w:pStyle w:val="30"/>
              <w:keepNext w:val="0"/>
              <w:keepLines w:val="0"/>
              <w:widowControl/>
              <w:suppressLineNumbers w:val="0"/>
              <w:snapToGrid w:val="0"/>
              <w:spacing w:line="240" w:lineRule="auto"/>
              <w:ind w:left="0" w:leftChars="0" w:right="0" w:rightChars="0" w:firstLine="0" w:firstLineChars="0"/>
              <w:jc w:val="center"/>
              <w:textAlignment w:val="center"/>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val="0"/>
                <w:i w:val="0"/>
                <w:color w:val="FFFFFF"/>
                <w:kern w:val="0"/>
                <w:sz w:val="21"/>
                <w:szCs w:val="21"/>
                <w:lang w:val="en-US" w:eastAsia="zh-CN" w:bidi="ar"/>
              </w:rPr>
              <w:t>Color Depth</w:t>
            </w:r>
          </w:p>
        </w:tc>
      </w:tr>
      <w:tr w14:paraId="1EE3780C">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1729" w:type="dxa"/>
            <w:tcBorders>
              <w:tl2br w:val="nil"/>
              <w:tr2bl w:val="nil"/>
            </w:tcBorders>
            <w:tcMar>
              <w:top w:w="60" w:type="dxa"/>
              <w:left w:w="120" w:type="dxa"/>
              <w:bottom w:w="30" w:type="dxa"/>
              <w:right w:w="120" w:type="dxa"/>
            </w:tcMar>
            <w:vAlign w:val="center"/>
          </w:tcPr>
          <w:p w14:paraId="15C5256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4K</w:t>
            </w:r>
          </w:p>
        </w:tc>
        <w:tc>
          <w:tcPr>
            <w:tcW w:w="2513" w:type="dxa"/>
            <w:tcBorders>
              <w:tl2br w:val="nil"/>
              <w:tr2bl w:val="nil"/>
            </w:tcBorders>
            <w:tcMar>
              <w:top w:w="60" w:type="dxa"/>
              <w:left w:w="120" w:type="dxa"/>
              <w:bottom w:w="30" w:type="dxa"/>
              <w:right w:w="120" w:type="dxa"/>
            </w:tcMar>
            <w:vAlign w:val="center"/>
          </w:tcPr>
          <w:p w14:paraId="7954111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60Hz / 120Hz</w:t>
            </w:r>
          </w:p>
        </w:tc>
        <w:tc>
          <w:tcPr>
            <w:tcW w:w="0" w:type="auto"/>
            <w:tcBorders>
              <w:tl2br w:val="nil"/>
              <w:tr2bl w:val="nil"/>
            </w:tcBorders>
            <w:tcMar>
              <w:top w:w="60" w:type="dxa"/>
              <w:left w:w="120" w:type="dxa"/>
              <w:bottom w:w="30" w:type="dxa"/>
              <w:right w:w="120" w:type="dxa"/>
            </w:tcMar>
            <w:vAlign w:val="center"/>
          </w:tcPr>
          <w:p w14:paraId="0F59D258">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4:2:0 / 4:2:2 / 4:4:4</w:t>
            </w:r>
          </w:p>
        </w:tc>
        <w:tc>
          <w:tcPr>
            <w:tcW w:w="2072" w:type="dxa"/>
            <w:tcBorders>
              <w:tl2br w:val="nil"/>
              <w:tr2bl w:val="nil"/>
            </w:tcBorders>
            <w:tcMar>
              <w:top w:w="60" w:type="dxa"/>
              <w:left w:w="120" w:type="dxa"/>
              <w:bottom w:w="30" w:type="dxa"/>
              <w:right w:w="120" w:type="dxa"/>
            </w:tcMar>
            <w:vAlign w:val="center"/>
          </w:tcPr>
          <w:p w14:paraId="28F9105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8/10/12bit</w:t>
            </w:r>
          </w:p>
        </w:tc>
      </w:tr>
      <w:tr w14:paraId="2D5267D8">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1729" w:type="dxa"/>
            <w:tcBorders>
              <w:tl2br w:val="nil"/>
              <w:tr2bl w:val="nil"/>
            </w:tcBorders>
            <w:tcMar>
              <w:top w:w="60" w:type="dxa"/>
              <w:left w:w="120" w:type="dxa"/>
              <w:bottom w:w="30" w:type="dxa"/>
              <w:right w:w="120" w:type="dxa"/>
            </w:tcMar>
            <w:vAlign w:val="center"/>
          </w:tcPr>
          <w:p w14:paraId="27CA6CE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5K</w:t>
            </w:r>
          </w:p>
        </w:tc>
        <w:tc>
          <w:tcPr>
            <w:tcW w:w="2513" w:type="dxa"/>
            <w:tcBorders>
              <w:tl2br w:val="nil"/>
              <w:tr2bl w:val="nil"/>
            </w:tcBorders>
            <w:tcMar>
              <w:top w:w="60" w:type="dxa"/>
              <w:left w:w="120" w:type="dxa"/>
              <w:bottom w:w="30" w:type="dxa"/>
              <w:right w:w="120" w:type="dxa"/>
            </w:tcMar>
            <w:vAlign w:val="center"/>
          </w:tcPr>
          <w:p w14:paraId="1A5A954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60Hz / 120Hz</w:t>
            </w:r>
          </w:p>
        </w:tc>
        <w:tc>
          <w:tcPr>
            <w:tcW w:w="0" w:type="auto"/>
            <w:tcBorders>
              <w:tl2br w:val="nil"/>
              <w:tr2bl w:val="nil"/>
            </w:tcBorders>
            <w:tcMar>
              <w:top w:w="60" w:type="dxa"/>
              <w:left w:w="120" w:type="dxa"/>
              <w:bottom w:w="30" w:type="dxa"/>
              <w:right w:w="120" w:type="dxa"/>
            </w:tcMar>
            <w:vAlign w:val="center"/>
          </w:tcPr>
          <w:p w14:paraId="692D33F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4:2:0 / 4:2:2 / 4:4:4</w:t>
            </w:r>
          </w:p>
        </w:tc>
        <w:tc>
          <w:tcPr>
            <w:tcW w:w="2072" w:type="dxa"/>
            <w:tcBorders>
              <w:tl2br w:val="nil"/>
              <w:tr2bl w:val="nil"/>
            </w:tcBorders>
            <w:tcMar>
              <w:top w:w="60" w:type="dxa"/>
              <w:left w:w="120" w:type="dxa"/>
              <w:bottom w:w="30" w:type="dxa"/>
              <w:right w:w="120" w:type="dxa"/>
            </w:tcMar>
            <w:vAlign w:val="center"/>
          </w:tcPr>
          <w:p w14:paraId="3720DEF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8/10bit</w:t>
            </w:r>
          </w:p>
        </w:tc>
      </w:tr>
      <w:tr w14:paraId="6C2F23E4">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1729" w:type="dxa"/>
            <w:tcBorders>
              <w:tl2br w:val="nil"/>
              <w:tr2bl w:val="nil"/>
            </w:tcBorders>
            <w:tcMar>
              <w:top w:w="60" w:type="dxa"/>
              <w:left w:w="120" w:type="dxa"/>
              <w:bottom w:w="30" w:type="dxa"/>
              <w:right w:w="120" w:type="dxa"/>
            </w:tcMar>
            <w:vAlign w:val="center"/>
          </w:tcPr>
          <w:p w14:paraId="114CC0B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8K</w:t>
            </w:r>
          </w:p>
        </w:tc>
        <w:tc>
          <w:tcPr>
            <w:tcW w:w="2513" w:type="dxa"/>
            <w:tcBorders>
              <w:tl2br w:val="nil"/>
              <w:tr2bl w:val="nil"/>
            </w:tcBorders>
            <w:tcMar>
              <w:top w:w="60" w:type="dxa"/>
              <w:left w:w="120" w:type="dxa"/>
              <w:bottom w:w="30" w:type="dxa"/>
              <w:right w:w="120" w:type="dxa"/>
            </w:tcMar>
            <w:vAlign w:val="center"/>
          </w:tcPr>
          <w:p w14:paraId="1AE6FFA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60Hz</w:t>
            </w:r>
          </w:p>
        </w:tc>
        <w:tc>
          <w:tcPr>
            <w:tcW w:w="0" w:type="auto"/>
            <w:tcBorders>
              <w:tl2br w:val="nil"/>
              <w:tr2bl w:val="nil"/>
            </w:tcBorders>
            <w:tcMar>
              <w:top w:w="60" w:type="dxa"/>
              <w:left w:w="120" w:type="dxa"/>
              <w:bottom w:w="30" w:type="dxa"/>
              <w:right w:w="120" w:type="dxa"/>
            </w:tcMar>
            <w:vAlign w:val="center"/>
          </w:tcPr>
          <w:p w14:paraId="0401C66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4:2:0</w:t>
            </w:r>
          </w:p>
        </w:tc>
        <w:tc>
          <w:tcPr>
            <w:tcW w:w="2072" w:type="dxa"/>
            <w:tcBorders>
              <w:tl2br w:val="nil"/>
              <w:tr2bl w:val="nil"/>
            </w:tcBorders>
            <w:tcMar>
              <w:top w:w="60" w:type="dxa"/>
              <w:left w:w="120" w:type="dxa"/>
              <w:bottom w:w="30" w:type="dxa"/>
              <w:right w:w="120" w:type="dxa"/>
            </w:tcMar>
            <w:vAlign w:val="center"/>
          </w:tcPr>
          <w:p w14:paraId="730A6CE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8/10/12bit</w:t>
            </w:r>
          </w:p>
        </w:tc>
      </w:tr>
      <w:tr w14:paraId="157440CC">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1729" w:type="dxa"/>
            <w:tcBorders>
              <w:tl2br w:val="nil"/>
              <w:tr2bl w:val="nil"/>
            </w:tcBorders>
            <w:tcMar>
              <w:top w:w="60" w:type="dxa"/>
              <w:left w:w="120" w:type="dxa"/>
              <w:bottom w:w="30" w:type="dxa"/>
              <w:right w:w="120" w:type="dxa"/>
            </w:tcMar>
            <w:vAlign w:val="center"/>
          </w:tcPr>
          <w:p w14:paraId="4426F9D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10K</w:t>
            </w:r>
          </w:p>
        </w:tc>
        <w:tc>
          <w:tcPr>
            <w:tcW w:w="2513" w:type="dxa"/>
            <w:tcBorders>
              <w:tl2br w:val="nil"/>
              <w:tr2bl w:val="nil"/>
            </w:tcBorders>
            <w:tcMar>
              <w:top w:w="60" w:type="dxa"/>
              <w:left w:w="120" w:type="dxa"/>
              <w:bottom w:w="30" w:type="dxa"/>
              <w:right w:w="120" w:type="dxa"/>
            </w:tcMar>
            <w:vAlign w:val="center"/>
          </w:tcPr>
          <w:p w14:paraId="2D8E3045">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24Hz / 30Hz</w:t>
            </w:r>
          </w:p>
        </w:tc>
        <w:tc>
          <w:tcPr>
            <w:tcW w:w="3561" w:type="dxa"/>
            <w:tcBorders>
              <w:tl2br w:val="nil"/>
              <w:tr2bl w:val="nil"/>
            </w:tcBorders>
            <w:tcMar>
              <w:top w:w="60" w:type="dxa"/>
              <w:left w:w="120" w:type="dxa"/>
              <w:bottom w:w="30" w:type="dxa"/>
              <w:right w:w="120" w:type="dxa"/>
            </w:tcMar>
            <w:vAlign w:val="center"/>
          </w:tcPr>
          <w:p w14:paraId="72AC6C47">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4:2:0 / 4:2:2 / 4:4:4</w:t>
            </w:r>
          </w:p>
        </w:tc>
        <w:tc>
          <w:tcPr>
            <w:tcW w:w="2072" w:type="dxa"/>
            <w:tcBorders>
              <w:tl2br w:val="nil"/>
              <w:tr2bl w:val="nil"/>
            </w:tcBorders>
            <w:tcMar>
              <w:top w:w="60" w:type="dxa"/>
              <w:left w:w="120" w:type="dxa"/>
              <w:bottom w:w="30" w:type="dxa"/>
              <w:right w:w="120" w:type="dxa"/>
            </w:tcMar>
            <w:vAlign w:val="center"/>
          </w:tcPr>
          <w:p w14:paraId="274D9A1A">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8/10bit</w:t>
            </w:r>
          </w:p>
        </w:tc>
      </w:tr>
    </w:tbl>
    <w:p w14:paraId="3317F589">
      <w:pPr>
        <w:jc w:val="left"/>
        <w:rPr>
          <w:rStyle w:val="134"/>
          <w:rFonts w:hint="eastAsia" w:ascii="等线" w:hAnsi="等线" w:eastAsia="等线" w:cs="等线"/>
          <w:b/>
          <w:bCs/>
          <w:color w:val="000000"/>
          <w:kern w:val="0"/>
          <w:sz w:val="18"/>
          <w:szCs w:val="18"/>
          <w:lang w:val="en-US" w:eastAsia="zh-CN" w:bidi="ar"/>
        </w:rPr>
      </w:pPr>
      <w:r>
        <w:rPr>
          <w:rFonts w:hint="eastAsia" w:ascii="等线" w:hAnsi="等线" w:eastAsia="等线" w:cs="等线"/>
          <w:color w:val="000000"/>
          <w:kern w:val="0"/>
          <w:sz w:val="21"/>
          <w:szCs w:val="21"/>
          <w:lang w:val="en-US" w:eastAsia="zh-CN" w:bidi="ar"/>
        </w:rPr>
        <w:t xml:space="preserve">2.3. Signal Flow Description and Working Principle Block Diagram           </w:t>
      </w:r>
      <w:r>
        <w:rPr>
          <w:rFonts w:hint="eastAsia" w:ascii="Times New Roman" w:hAnsi="等线" w:eastAsia="微软雅黑" w:cs="等线"/>
          <w:b/>
          <w:bCs/>
          <w:color w:val="E46C0A" w:themeColor="accent6" w:themeShade="BF"/>
          <w:kern w:val="0"/>
          <w:sz w:val="28"/>
          <w:szCs w:val="28"/>
          <w:lang w:val="en-US" w:eastAsia="zh-CN" w:bidi="ar"/>
        </w:rPr>
        <w:t xml:space="preserve">                      </w:t>
      </w: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233"/>
        <w:gridCol w:w="6735"/>
      </w:tblGrid>
      <w:tr w14:paraId="4256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F79646" w:themeFill="accent6"/>
            <w:tcMar>
              <w:top w:w="120" w:type="dxa"/>
              <w:left w:w="120" w:type="dxa"/>
              <w:bottom w:w="120" w:type="dxa"/>
              <w:right w:w="120" w:type="dxa"/>
            </w:tcMar>
            <w:vAlign w:val="center"/>
          </w:tcPr>
          <w:p w14:paraId="29CAEBA8">
            <w:pPr>
              <w:pStyle w:val="30"/>
              <w:keepNext w:val="0"/>
              <w:keepLines w:val="0"/>
              <w:widowControl/>
              <w:suppressLineNumbers w:val="0"/>
              <w:wordWrap/>
              <w:ind w:left="0" w:leftChars="0" w:right="0" w:rightChars="0"/>
              <w:jc w:val="left"/>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rPr>
              <w:t>Stage</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F79646" w:themeFill="accent6"/>
            <w:tcMar>
              <w:top w:w="120" w:type="dxa"/>
              <w:left w:w="120" w:type="dxa"/>
              <w:bottom w:w="120" w:type="dxa"/>
              <w:right w:w="120" w:type="dxa"/>
            </w:tcMar>
            <w:vAlign w:val="center"/>
          </w:tcPr>
          <w:p w14:paraId="4B97954E">
            <w:pPr>
              <w:pStyle w:val="30"/>
              <w:keepNext w:val="0"/>
              <w:keepLines w:val="0"/>
              <w:widowControl/>
              <w:suppressLineNumbers w:val="0"/>
              <w:wordWrap/>
              <w:ind w:left="0" w:leftChars="0" w:right="0" w:rightChars="0"/>
              <w:jc w:val="left"/>
              <w:rPr>
                <w:rFonts w:hint="eastAsia" w:ascii="等线" w:hAnsi="等线" w:eastAsia="等线" w:cs="等线"/>
                <w:b/>
                <w:bCs w:val="0"/>
                <w:i w:val="0"/>
                <w:color w:val="FFFFFF"/>
                <w:kern w:val="0"/>
                <w:sz w:val="21"/>
                <w:szCs w:val="21"/>
                <w:lang w:val="en-US" w:eastAsia="zh-CN" w:bidi="ar"/>
              </w:rPr>
            </w:pPr>
            <w:r>
              <w:rPr>
                <w:rFonts w:hint="eastAsia" w:ascii="等线" w:hAnsi="等线" w:eastAsia="等线" w:cs="等线"/>
                <w:b/>
                <w:bCs/>
              </w:rPr>
              <w:t>Description</w:t>
            </w:r>
          </w:p>
        </w:tc>
      </w:tr>
      <w:tr w14:paraId="37A40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13653CD3">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① HDMI Source → TX</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23E53EAC">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The source outputs standard HDMI 2.1 electrical signals (TMDS/FRL), supporting 8K@60 4:4:4, VRR, HDR, etc.</w:t>
            </w:r>
          </w:p>
        </w:tc>
      </w:tr>
      <w:tr w14:paraId="0650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69E643B3">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② TX Internal Processing</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775283A3">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HDMI 2.1 receiver → Ser Des/FRL encoding → VCSEL driver array. Converts 4 high-speed differential pairs plus auxiliary signals into multiple optical signals.</w:t>
            </w:r>
          </w:p>
        </w:tc>
      </w:tr>
      <w:tr w14:paraId="6CCC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389FE1E1">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③ TX → MPO Fiber</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489C3F4A">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Parallel optical transmission via MPO multi-core OM3 multi mode fiber (850 nm). Pure optical path with zero EMI.</w:t>
            </w:r>
          </w:p>
        </w:tc>
      </w:tr>
      <w:tr w14:paraId="5015F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7198DCDD">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④ MPO → RX</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082D57DF">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Photo diode array receives optical signals → TIA (Trans impedance Amplifier) / Deserializer restores electrical signals.</w:t>
            </w:r>
          </w:p>
        </w:tc>
      </w:tr>
      <w:tr w14:paraId="024A3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79FB4A5F">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⑤ RX → HDMI Sink</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5AFFE124">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HDMI 2.1 transmitter outputs standard HDMI electrical signals to the display device.</w:t>
            </w:r>
          </w:p>
        </w:tc>
      </w:tr>
      <w:tr w14:paraId="7CD5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5AF9EFA1">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⑥ Control Channel</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30992048">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Bidirectional low-speed control signals (DDC/EDID/HPD/eARC, etc.) transmitted via the fiber (indicated by dotted lines).</w:t>
            </w:r>
          </w:p>
        </w:tc>
      </w:tr>
      <w:tr w14:paraId="70AF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3233"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6BDA4C40">
            <w:pPr>
              <w:pStyle w:val="30"/>
              <w:keepNext w:val="0"/>
              <w:keepLines w:val="0"/>
              <w:widowControl/>
              <w:suppressLineNumbers w:val="0"/>
              <w:ind w:left="0" w:leftChars="0" w:right="0" w:rightChars="0"/>
              <w:jc w:val="left"/>
              <w:rPr>
                <w:rFonts w:hint="eastAsia" w:ascii="等线" w:hAnsi="等线" w:eastAsia="等线" w:cs="等线"/>
                <w:b w:val="0"/>
                <w:bCs w:val="0"/>
                <w:i w:val="0"/>
                <w:color w:val="000000"/>
                <w:kern w:val="0"/>
                <w:sz w:val="18"/>
                <w:szCs w:val="18"/>
                <w:lang w:val="en-US" w:eastAsia="zh-CN" w:bidi="ar"/>
              </w:rPr>
            </w:pPr>
            <w:r>
              <w:rPr>
                <w:rStyle w:val="134"/>
                <w:rFonts w:hint="eastAsia" w:ascii="等线" w:hAnsi="等线" w:eastAsia="等线" w:cs="等线"/>
                <w:sz w:val="18"/>
                <w:szCs w:val="18"/>
                <w:vertAlign w:val="baseline"/>
              </w:rPr>
              <w:t>⑦ Power Supply</w:t>
            </w:r>
            <w:r>
              <w:rPr>
                <w:rFonts w:hint="eastAsia" w:ascii="等线" w:hAnsi="等线" w:eastAsia="等线" w:cs="等线"/>
                <w:sz w:val="18"/>
                <w:szCs w:val="18"/>
                <w:vertAlign w:val="baseline"/>
              </w:rPr>
              <w:t>​</w:t>
            </w:r>
          </w:p>
        </w:tc>
        <w:tc>
          <w:tcPr>
            <w:tcW w:w="6735" w:type="dxa"/>
            <w:tcBorders>
              <w:top w:val="single" w:color="F79646" w:themeColor="accent6" w:sz="6" w:space="0"/>
              <w:left w:val="single" w:color="F79646" w:themeColor="accent6" w:sz="6" w:space="0"/>
              <w:bottom w:val="single" w:color="F79646" w:themeColor="accent6" w:sz="6" w:space="0"/>
              <w:right w:val="single" w:color="F79646" w:themeColor="accent6" w:sz="6" w:space="0"/>
            </w:tcBorders>
            <w:shd w:val="clear" w:color="auto" w:fill="auto"/>
            <w:tcMar>
              <w:top w:w="120" w:type="dxa"/>
              <w:left w:w="120" w:type="dxa"/>
              <w:bottom w:w="120" w:type="dxa"/>
              <w:right w:w="120" w:type="dxa"/>
            </w:tcMar>
            <w:vAlign w:val="top"/>
          </w:tcPr>
          <w:p w14:paraId="4D22BB0B">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Both TX and RX modules require 5V power (partially bus-powered via HDMI port where applicable).</w:t>
            </w:r>
          </w:p>
        </w:tc>
      </w:tr>
    </w:tbl>
    <w:p w14:paraId="02E1CB3F">
      <w:pPr>
        <w:rPr>
          <w:rFonts w:hint="eastAsia" w:ascii="等线" w:hAnsi="等线" w:eastAsia="等线" w:cs="等线"/>
          <w:b/>
          <w:sz w:val="21"/>
          <w:lang w:eastAsia="zh-CN"/>
        </w:rPr>
      </w:pPr>
    </w:p>
    <w:p w14:paraId="12CA5492">
      <w:pPr>
        <w:jc w:val="left"/>
        <w:rPr>
          <w:rFonts w:hint="eastAsia" w:ascii="等线" w:hAnsi="等线" w:eastAsia="等线" w:cs="等线"/>
          <w:color w:val="000000"/>
          <w:kern w:val="0"/>
          <w:sz w:val="21"/>
          <w:szCs w:val="21"/>
          <w:lang w:val="en-US" w:eastAsia="zh-CN" w:bidi="ar"/>
        </w:rPr>
      </w:pPr>
      <w:r>
        <w:rPr>
          <w:rFonts w:hint="eastAsia" w:ascii="微软雅黑" w:hAnsi="微软雅黑" w:eastAsia="微软雅黑" w:cs="微软雅黑"/>
          <w:b/>
          <w:bCs/>
          <w:color w:val="E46C0A" w:themeColor="accent6" w:themeShade="BF"/>
          <w:kern w:val="0"/>
          <w:sz w:val="28"/>
          <w:szCs w:val="28"/>
          <w:lang w:val="en-US" w:eastAsia="zh-CN" w:bidi="ar"/>
        </w:rPr>
        <w:t>Ⅲ</w:t>
      </w:r>
      <w:r>
        <w:rPr>
          <w:rFonts w:hint="eastAsia" w:ascii="等线" w:hAnsi="等线" w:eastAsia="等线" w:cs="等线"/>
          <w:b/>
          <w:bCs/>
          <w:color w:val="E46C0A" w:themeColor="accent6" w:themeShade="BF"/>
          <w:kern w:val="0"/>
          <w:sz w:val="28"/>
          <w:szCs w:val="28"/>
          <w:lang w:val="en-US" w:eastAsia="zh-CN" w:bidi="ar"/>
        </w:rPr>
        <w:t>.Module and Cable Structure Drawings</w:t>
      </w:r>
    </w:p>
    <w:p w14:paraId="0F7C7221">
      <w:pPr>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3.1. Optoelectronic Module Architecture</w:t>
      </w:r>
    </w:p>
    <w:p w14:paraId="6439D180">
      <w:pPr>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TX (Source Signal Source):</w:t>
      </w:r>
    </w:p>
    <w:p w14:paraId="53F08961">
      <w:pPr>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 5-channel 850 nm VCSEL laser + 2-channel GaAs photo-diode array</w:t>
      </w:r>
    </w:p>
    <w:p w14:paraId="4AB9685E">
      <w:pPr>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RX (Display End):</w:t>
      </w:r>
    </w:p>
    <w:p w14:paraId="220568FB">
      <w:pPr>
        <w:keepNext w:val="0"/>
        <w:keepLines w:val="0"/>
        <w:pageBreakBefore w:val="0"/>
        <w:widowControl/>
        <w:kinsoku/>
        <w:wordWrap/>
        <w:overflowPunct/>
        <w:topLinePunct w:val="0"/>
        <w:autoSpaceDE/>
        <w:autoSpaceDN/>
        <w:bidi w:val="0"/>
        <w:adjustRightInd/>
        <w:snapToGrid/>
        <w:ind w:firstLine="420" w:firstLineChars="200"/>
        <w:jc w:val="both"/>
        <w:textAlignment w:val="auto"/>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 2-channel 850 nm VCSEL laser + 5-channel GaAs photo-diode array</w:t>
      </w:r>
    </w:p>
    <w:p w14:paraId="473F1506">
      <w:pPr>
        <w:jc w:val="left"/>
        <w:rPr>
          <w:rFonts w:hint="eastAsia"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3.2 Description of the MPO Cable Structure</w:t>
      </w:r>
    </w:p>
    <w:p w14:paraId="1F889B21">
      <w:pPr>
        <w:keepNext w:val="0"/>
        <w:keepLines w:val="0"/>
        <w:pageBreakBefore w:val="0"/>
        <w:widowControl/>
        <w:kinsoku/>
        <w:wordWrap/>
        <w:overflowPunct/>
        <w:topLinePunct w:val="0"/>
        <w:autoSpaceDE/>
        <w:autoSpaceDN/>
        <w:bidi w:val="0"/>
        <w:adjustRightInd/>
        <w:snapToGrid/>
        <w:jc w:val="both"/>
        <w:textAlignment w:val="auto"/>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Description: This product is compatible with third-party MPO Type-A (12-core OM3) fiber optic connection solutions.</w:t>
      </w:r>
    </w:p>
    <w:tbl>
      <w:tblPr>
        <w:tblStyle w:val="33"/>
        <w:tblW w:w="9875" w:type="dxa"/>
        <w:jc w:val="center"/>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Layout w:type="autofit"/>
        <w:tblCellMar>
          <w:top w:w="0" w:type="dxa"/>
          <w:left w:w="10" w:type="dxa"/>
          <w:bottom w:w="0" w:type="dxa"/>
          <w:right w:w="10" w:type="dxa"/>
        </w:tblCellMar>
      </w:tblPr>
      <w:tblGrid>
        <w:gridCol w:w="3730"/>
        <w:gridCol w:w="6145"/>
      </w:tblGrid>
      <w:tr w14:paraId="7DD5E8CC">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tblHeader/>
          <w:jc w:val="center"/>
        </w:trPr>
        <w:tc>
          <w:tcPr>
            <w:tcW w:w="0" w:type="auto"/>
            <w:tcBorders>
              <w:tl2br w:val="nil"/>
              <w:tr2bl w:val="nil"/>
            </w:tcBorders>
            <w:shd w:val="clear" w:color="auto" w:fill="F79646" w:themeFill="accent6"/>
            <w:tcMar>
              <w:top w:w="60" w:type="dxa"/>
              <w:left w:w="120" w:type="dxa"/>
              <w:bottom w:w="30" w:type="dxa"/>
              <w:right w:w="120" w:type="dxa"/>
            </w:tcMar>
            <w:vAlign w:val="center"/>
          </w:tcPr>
          <w:p w14:paraId="3AD24A23">
            <w:pPr>
              <w:snapToGrid w:val="0"/>
              <w:spacing w:before="120" w:after="120" w:line="240" w:lineRule="auto"/>
              <w:ind w:left="0" w:leftChars="0" w:right="0" w:rightChars="0" w:firstLine="0" w:firstLineChars="0"/>
              <w:jc w:val="center"/>
              <w:rPr>
                <w:rFonts w:hint="eastAsia" w:ascii="等线" w:hAnsi="等线" w:eastAsia="等线" w:cs="等线"/>
                <w:b/>
                <w:color w:val="FFFFFF" w:themeColor="background1"/>
                <w:sz w:val="22"/>
                <w:lang w:eastAsia="zh-CN"/>
                <w14:textFill>
                  <w14:solidFill>
                    <w14:schemeClr w14:val="bg1"/>
                  </w14:solidFill>
                </w14:textFill>
              </w:rPr>
            </w:pPr>
            <w:r>
              <w:rPr>
                <w:rFonts w:hint="eastAsia" w:ascii="Times New Roman" w:hAnsi="等线" w:eastAsia="微软雅黑" w:cs="等线"/>
                <w:b/>
                <w:color w:val="FFFFFF" w:themeColor="background1"/>
                <w:sz w:val="22"/>
                <w:szCs w:val="22"/>
                <w:lang w:val="en-US" w:eastAsia="zh-CN" w:bidi="ar-SA"/>
                <w14:textFill>
                  <w14:solidFill>
                    <w14:schemeClr w14:val="bg1"/>
                  </w14:solidFill>
                </w14:textFill>
              </w:rPr>
              <w:t>Project</w:t>
            </w:r>
          </w:p>
        </w:tc>
        <w:tc>
          <w:tcPr>
            <w:tcW w:w="6145" w:type="dxa"/>
            <w:tcBorders>
              <w:tl2br w:val="nil"/>
              <w:tr2bl w:val="nil"/>
            </w:tcBorders>
            <w:shd w:val="clear" w:color="auto" w:fill="F79646" w:themeFill="accent6"/>
            <w:tcMar>
              <w:top w:w="60" w:type="dxa"/>
              <w:left w:w="120" w:type="dxa"/>
              <w:bottom w:w="30" w:type="dxa"/>
              <w:right w:w="120" w:type="dxa"/>
            </w:tcMar>
            <w:vAlign w:val="center"/>
          </w:tcPr>
          <w:p w14:paraId="4B17F547">
            <w:pPr>
              <w:snapToGrid w:val="0"/>
              <w:spacing w:before="120" w:after="120" w:line="240" w:lineRule="auto"/>
              <w:ind w:left="0" w:leftChars="0" w:right="0" w:rightChars="0" w:firstLine="0" w:firstLineChars="0"/>
              <w:jc w:val="center"/>
              <w:rPr>
                <w:rFonts w:hint="eastAsia" w:ascii="等线" w:hAnsi="等线" w:eastAsia="等线" w:cs="等线"/>
                <w:b/>
                <w:color w:val="FFFFFF" w:themeColor="background1"/>
                <w:sz w:val="22"/>
                <w:lang w:eastAsia="zh-CN"/>
                <w14:textFill>
                  <w14:solidFill>
                    <w14:schemeClr w14:val="bg1"/>
                  </w14:solidFill>
                </w14:textFill>
              </w:rPr>
            </w:pPr>
            <w:r>
              <w:rPr>
                <w:rFonts w:hint="eastAsia" w:ascii="Times New Roman" w:hAnsi="等线" w:eastAsia="微软雅黑" w:cs="等线"/>
                <w:b/>
                <w:color w:val="FFFFFF" w:themeColor="background1"/>
                <w:sz w:val="22"/>
                <w:szCs w:val="22"/>
                <w:lang w:val="en-US" w:eastAsia="zh-CN" w:bidi="ar-SA"/>
                <w14:textFill>
                  <w14:solidFill>
                    <w14:schemeClr w14:val="bg1"/>
                  </w14:solidFill>
                </w14:textFill>
              </w:rPr>
              <w:t>Explain</w:t>
            </w:r>
          </w:p>
        </w:tc>
      </w:tr>
      <w:tr w14:paraId="6674EAC1">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0" w:type="auto"/>
            <w:tcBorders>
              <w:tl2br w:val="nil"/>
              <w:tr2bl w:val="nil"/>
            </w:tcBorders>
            <w:tcMar>
              <w:top w:w="60" w:type="dxa"/>
              <w:left w:w="120" w:type="dxa"/>
              <w:bottom w:w="30" w:type="dxa"/>
              <w:right w:w="120" w:type="dxa"/>
            </w:tcMar>
            <w:vAlign w:val="center"/>
          </w:tcPr>
          <w:p w14:paraId="59CA3DC9">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Optical Fiber Structure</w:t>
            </w:r>
          </w:p>
        </w:tc>
        <w:tc>
          <w:tcPr>
            <w:tcW w:w="6145" w:type="dxa"/>
            <w:tcBorders>
              <w:tl2br w:val="nil"/>
              <w:tr2bl w:val="nil"/>
            </w:tcBorders>
            <w:tcMar>
              <w:top w:w="60" w:type="dxa"/>
              <w:left w:w="120" w:type="dxa"/>
              <w:bottom w:w="30" w:type="dxa"/>
              <w:right w:w="120" w:type="dxa"/>
            </w:tcMar>
            <w:vAlign w:val="center"/>
          </w:tcPr>
          <w:p w14:paraId="5B4EB616">
            <w:pPr>
              <w:pStyle w:val="30"/>
              <w:keepNext w:val="0"/>
              <w:keepLines w:val="0"/>
              <w:widowControl/>
              <w:suppressLineNumbers w:val="0"/>
              <w:snapToGrid w:val="0"/>
              <w:spacing w:line="240" w:lineRule="auto"/>
              <w:ind w:left="0" w:leftChars="0" w:right="0" w:rightChars="0" w:firstLine="0" w:firstLineChars="0"/>
              <w:jc w:val="left"/>
              <w:textAlignment w:val="center"/>
              <w:rPr>
                <w:rFonts w:hint="default"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7 Core  or 12 Core  OM3 Multi-Mode</w:t>
            </w:r>
          </w:p>
        </w:tc>
      </w:tr>
      <w:tr w14:paraId="78A23DB2">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0" w:type="auto"/>
            <w:tcBorders>
              <w:tl2br w:val="nil"/>
              <w:tr2bl w:val="nil"/>
            </w:tcBorders>
            <w:tcMar>
              <w:top w:w="60" w:type="dxa"/>
              <w:left w:w="120" w:type="dxa"/>
              <w:bottom w:w="30" w:type="dxa"/>
              <w:right w:w="120" w:type="dxa"/>
            </w:tcMar>
            <w:vAlign w:val="center"/>
          </w:tcPr>
          <w:p w14:paraId="04DBABAD">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Connection Method</w:t>
            </w:r>
          </w:p>
        </w:tc>
        <w:tc>
          <w:tcPr>
            <w:tcW w:w="6145" w:type="dxa"/>
            <w:tcBorders>
              <w:tl2br w:val="nil"/>
              <w:tr2bl w:val="nil"/>
            </w:tcBorders>
            <w:tcMar>
              <w:top w:w="60" w:type="dxa"/>
              <w:left w:w="120" w:type="dxa"/>
              <w:bottom w:w="30" w:type="dxa"/>
              <w:right w:w="120" w:type="dxa"/>
            </w:tcMar>
            <w:vAlign w:val="center"/>
          </w:tcPr>
          <w:p w14:paraId="0B1CDCED">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MPO Type-A</w:t>
            </w:r>
          </w:p>
        </w:tc>
      </w:tr>
      <w:tr w14:paraId="26F6A1E2">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0" w:type="auto"/>
            <w:tcBorders>
              <w:tl2br w:val="nil"/>
              <w:tr2bl w:val="nil"/>
            </w:tcBorders>
            <w:tcMar>
              <w:top w:w="60" w:type="dxa"/>
              <w:left w:w="120" w:type="dxa"/>
              <w:bottom w:w="30" w:type="dxa"/>
              <w:right w:w="120" w:type="dxa"/>
            </w:tcMar>
            <w:vAlign w:val="center"/>
          </w:tcPr>
          <w:p w14:paraId="0668CE72">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Wire Color</w:t>
            </w:r>
          </w:p>
        </w:tc>
        <w:tc>
          <w:tcPr>
            <w:tcW w:w="6145" w:type="dxa"/>
            <w:tcBorders>
              <w:tl2br w:val="nil"/>
              <w:tr2bl w:val="nil"/>
            </w:tcBorders>
            <w:tcMar>
              <w:top w:w="60" w:type="dxa"/>
              <w:left w:w="120" w:type="dxa"/>
              <w:bottom w:w="30" w:type="dxa"/>
              <w:right w:w="120" w:type="dxa"/>
            </w:tcMar>
            <w:vAlign w:val="center"/>
          </w:tcPr>
          <w:p w14:paraId="5BD9B3A5">
            <w:pPr>
              <w:pStyle w:val="30"/>
              <w:keepNext w:val="0"/>
              <w:keepLines w:val="0"/>
              <w:widowControl/>
              <w:suppressLineNumbers w:val="0"/>
              <w:snapToGrid w:val="0"/>
              <w:spacing w:line="240" w:lineRule="auto"/>
              <w:ind w:left="0" w:leftChars="0" w:right="0" w:rightChars="0" w:firstLine="0" w:firstLineChars="0"/>
              <w:jc w:val="left"/>
              <w:textAlignment w:val="center"/>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Blue</w:t>
            </w:r>
          </w:p>
        </w:tc>
      </w:tr>
      <w:tr w14:paraId="34CE13ED">
        <w:tblPrEx>
          <w:tblBorders>
            <w:top w:val="single" w:color="F79646" w:themeColor="accent6" w:sz="2" w:space="0"/>
            <w:left w:val="single" w:color="F79646" w:themeColor="accent6" w:sz="2" w:space="0"/>
            <w:bottom w:val="single" w:color="F79646" w:themeColor="accent6" w:sz="2" w:space="0"/>
            <w:right w:val="single" w:color="F79646" w:themeColor="accent6" w:sz="2" w:space="0"/>
            <w:insideH w:val="single" w:color="F79646" w:themeColor="accent6" w:sz="2" w:space="0"/>
            <w:insideV w:val="single" w:color="F79646" w:themeColor="accent6" w:sz="2" w:space="0"/>
          </w:tblBorders>
          <w:tblCellMar>
            <w:top w:w="0" w:type="dxa"/>
            <w:left w:w="10" w:type="dxa"/>
            <w:bottom w:w="0" w:type="dxa"/>
            <w:right w:w="10" w:type="dxa"/>
          </w:tblCellMar>
        </w:tblPrEx>
        <w:trPr>
          <w:trHeight w:val="0" w:hRule="atLeast"/>
          <w:jc w:val="center"/>
        </w:trPr>
        <w:tc>
          <w:tcPr>
            <w:tcW w:w="3730" w:type="dxa"/>
            <w:tcBorders>
              <w:tl2br w:val="nil"/>
              <w:tr2bl w:val="nil"/>
            </w:tcBorders>
            <w:tcMar>
              <w:top w:w="60" w:type="dxa"/>
              <w:left w:w="120" w:type="dxa"/>
              <w:bottom w:w="30" w:type="dxa"/>
              <w:right w:w="120" w:type="dxa"/>
            </w:tcMar>
            <w:vAlign w:val="center"/>
          </w:tcPr>
          <w:p w14:paraId="5F502689">
            <w:pPr>
              <w:snapToGrid w:val="0"/>
              <w:spacing w:before="120" w:after="120" w:line="240" w:lineRule="auto"/>
              <w:ind w:left="0" w:leftChars="0" w:right="0" w:rightChars="0" w:firstLine="0" w:firstLineChars="0"/>
              <w:jc w:val="left"/>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Material of the outer sheath</w:t>
            </w:r>
          </w:p>
        </w:tc>
        <w:tc>
          <w:tcPr>
            <w:tcW w:w="6145" w:type="dxa"/>
            <w:tcBorders>
              <w:tl2br w:val="nil"/>
              <w:tr2bl w:val="nil"/>
            </w:tcBorders>
            <w:tcMar>
              <w:top w:w="60" w:type="dxa"/>
              <w:left w:w="120" w:type="dxa"/>
              <w:bottom w:w="30" w:type="dxa"/>
              <w:right w:w="120" w:type="dxa"/>
            </w:tcMar>
            <w:vAlign w:val="center"/>
          </w:tcPr>
          <w:p w14:paraId="1C6D5463">
            <w:pPr>
              <w:snapToGrid w:val="0"/>
              <w:spacing w:before="120" w:after="120" w:line="240" w:lineRule="auto"/>
              <w:ind w:left="0" w:leftChars="0" w:right="0" w:rightChars="0" w:firstLine="0" w:firstLineChars="0"/>
              <w:jc w:val="left"/>
              <w:rPr>
                <w:rFonts w:hint="eastAsia" w:ascii="等线" w:hAnsi="等线" w:eastAsia="等线" w:cs="等线"/>
                <w:b w:val="0"/>
                <w:bCs w:val="0"/>
                <w:i w:val="0"/>
                <w:color w:val="000000"/>
                <w:kern w:val="0"/>
                <w:sz w:val="21"/>
                <w:szCs w:val="21"/>
                <w:lang w:val="en-US" w:eastAsia="zh-CN" w:bidi="ar"/>
              </w:rPr>
            </w:pPr>
            <w:r>
              <w:rPr>
                <w:rFonts w:hint="eastAsia" w:ascii="等线" w:hAnsi="等线" w:eastAsia="等线" w:cs="等线"/>
                <w:b w:val="0"/>
                <w:bCs w:val="0"/>
                <w:i w:val="0"/>
                <w:color w:val="000000"/>
                <w:kern w:val="0"/>
                <w:sz w:val="21"/>
                <w:szCs w:val="21"/>
                <w:lang w:val="en-US" w:eastAsia="zh-CN" w:bidi="ar"/>
              </w:rPr>
              <w:t>LSZH: Low-smoke, Halogen-free</w:t>
            </w:r>
          </w:p>
        </w:tc>
      </w:tr>
    </w:tbl>
    <w:p w14:paraId="2002F38B">
      <w:pPr>
        <w:numPr>
          <w:ilvl w:val="0"/>
          <w:numId w:val="0"/>
        </w:numPr>
        <w:rPr>
          <w:rFonts w:hint="eastAsia" w:ascii="等线" w:hAnsi="等线" w:eastAsia="等线" w:cs="等线"/>
          <w:b/>
          <w:bCs/>
          <w:color w:val="E46C0A" w:themeColor="accent6" w:themeShade="BF"/>
          <w:kern w:val="0"/>
          <w:sz w:val="28"/>
          <w:szCs w:val="28"/>
          <w:lang w:val="en-US" w:eastAsia="zh-CN" w:bidi="ar"/>
        </w:rPr>
      </w:pPr>
    </w:p>
    <w:p w14:paraId="15CCE3F9">
      <w:pPr>
        <w:jc w:val="left"/>
        <w:rPr>
          <w:rFonts w:hint="default" w:ascii="等线" w:hAnsi="等线" w:eastAsia="等线" w:cs="等线"/>
          <w:color w:val="000000"/>
          <w:kern w:val="0"/>
          <w:sz w:val="21"/>
          <w:szCs w:val="21"/>
          <w:lang w:val="en-US" w:eastAsia="zh-CN" w:bidi="ar"/>
        </w:rPr>
      </w:pPr>
      <w:r>
        <w:rPr>
          <w:rFonts w:hint="eastAsia" w:ascii="等线" w:hAnsi="等线" w:eastAsia="等线" w:cs="等线"/>
          <w:color w:val="000000"/>
          <w:kern w:val="0"/>
          <w:sz w:val="21"/>
          <w:szCs w:val="21"/>
          <w:lang w:val="en-US" w:eastAsia="zh-CN" w:bidi="ar"/>
        </w:rPr>
        <w:t>3.3 Cable Structure Drawings</w:t>
      </w:r>
    </w:p>
    <w:p w14:paraId="04A3028A">
      <w:pPr>
        <w:rPr>
          <w:rFonts w:hint="eastAsia" w:ascii="等线" w:hAnsi="等线" w:eastAsia="等线" w:cs="等线"/>
          <w:lang w:val="en-US" w:eastAsia="zh-CN"/>
        </w:rPr>
      </w:pPr>
      <w:r>
        <w:rPr>
          <w:rFonts w:hint="eastAsia" w:ascii="等线" w:hAnsi="等线" w:eastAsia="等线" w:cs="等线"/>
          <w:lang w:val="en-US" w:eastAsia="zh-CN"/>
        </w:rPr>
        <w:drawing>
          <wp:inline distT="0" distB="0" distL="114300" distR="114300">
            <wp:extent cx="6544945" cy="4624070"/>
            <wp:effectExtent l="0" t="0" r="8255" b="5080"/>
            <wp:docPr id="2" name="图片 2" descr="SHMP-9860-XXX-S197M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HMP-9860-XXX-S197M_01"/>
                    <pic:cNvPicPr>
                      <a:picLocks noChangeAspect="1"/>
                    </pic:cNvPicPr>
                  </pic:nvPicPr>
                  <pic:blipFill>
                    <a:blip r:embed="rId10"/>
                    <a:stretch>
                      <a:fillRect/>
                    </a:stretch>
                  </pic:blipFill>
                  <pic:spPr>
                    <a:xfrm>
                      <a:off x="0" y="0"/>
                      <a:ext cx="6544945" cy="4624070"/>
                    </a:xfrm>
                    <a:prstGeom prst="rect">
                      <a:avLst/>
                    </a:prstGeom>
                  </pic:spPr>
                </pic:pic>
              </a:graphicData>
            </a:graphic>
          </wp:inline>
        </w:drawing>
      </w:r>
    </w:p>
    <w:p w14:paraId="2DA74485">
      <w:pPr>
        <w:jc w:val="left"/>
        <w:rPr>
          <w:rFonts w:hint="eastAsia" w:ascii="等线" w:hAnsi="等线" w:eastAsia="等线" w:cs="等线"/>
          <w:b/>
          <w:bCs/>
          <w:color w:val="E46C0A" w:themeColor="accent6" w:themeShade="BF"/>
          <w:kern w:val="0"/>
          <w:sz w:val="21"/>
          <w:szCs w:val="21"/>
          <w:lang w:val="en-US" w:eastAsia="zh-CN" w:bidi="ar"/>
        </w:rPr>
      </w:pPr>
      <w:r>
        <w:rPr>
          <w:rFonts w:hint="eastAsia" w:ascii="等线" w:hAnsi="等线" w:eastAsia="等线" w:cs="等线"/>
          <w:b/>
          <w:bCs/>
          <w:color w:val="E46C0A" w:themeColor="accent6" w:themeShade="BF"/>
          <w:kern w:val="0"/>
          <w:sz w:val="21"/>
          <w:szCs w:val="21"/>
          <w:lang w:val="en-US" w:eastAsia="zh-CN" w:bidi="ar"/>
        </w:rPr>
        <w:t>Ⅳ. Working Principle and Power Supply Specifications</w:t>
      </w:r>
    </w:p>
    <w:p w14:paraId="017B119D">
      <w:pPr>
        <w:rPr>
          <w:rStyle w:val="134"/>
          <w:rFonts w:hint="eastAsia" w:ascii="等线" w:hAnsi="等线" w:eastAsia="等线" w:cs="等线"/>
          <w:b/>
          <w:bCs/>
          <w:color w:val="000000"/>
          <w:kern w:val="0"/>
          <w:sz w:val="21"/>
          <w:szCs w:val="21"/>
          <w:lang w:val="en-US" w:eastAsia="zh-CN" w:bidi="ar"/>
        </w:rPr>
      </w:pPr>
      <w:r>
        <w:rPr>
          <w:rFonts w:hint="eastAsia" w:ascii="等线" w:hAnsi="等线" w:eastAsia="等线" w:cs="等线"/>
          <w:b/>
          <w:bCs/>
          <w:color w:val="000000"/>
          <w:kern w:val="0"/>
          <w:sz w:val="21"/>
          <w:szCs w:val="21"/>
          <w:lang w:val="en-US" w:eastAsia="zh-CN" w:bidi="ar"/>
        </w:rPr>
        <w:t>4.1 Working Principle</w:t>
      </w:r>
    </w:p>
    <w:p w14:paraId="5870D0DF">
      <w:pPr>
        <w:pStyle w:val="30"/>
        <w:keepNext w:val="0"/>
        <w:keepLines w:val="0"/>
        <w:widowControl/>
        <w:numPr>
          <w:ilvl w:val="0"/>
          <w:numId w:val="9"/>
        </w:numPr>
        <w:suppressLineNumbers w:val="0"/>
        <w:ind w:left="420" w:leftChars="0" w:hanging="420" w:firstLineChars="0"/>
        <w:rPr>
          <w:rFonts w:hint="eastAsia" w:ascii="等线" w:hAnsi="等线" w:eastAsia="等线" w:cs="等线"/>
          <w:color w:val="000000"/>
          <w:kern w:val="0"/>
          <w:sz w:val="21"/>
          <w:szCs w:val="21"/>
          <w:lang w:val="en-US" w:eastAsia="zh-CN" w:bidi="ar-SA"/>
        </w:rPr>
      </w:pPr>
      <w:r>
        <w:rPr>
          <w:rFonts w:hint="eastAsia" w:ascii="等线" w:hAnsi="等线" w:eastAsia="等线" w:cs="等线"/>
          <w:color w:val="000000"/>
          <w:kern w:val="0"/>
          <w:sz w:val="21"/>
          <w:szCs w:val="21"/>
          <w:lang w:val="en-US" w:eastAsia="zh-CN" w:bidi="ar-SA"/>
        </w:rPr>
        <w:t>TX (Transmitter): Connected to the signal source side, it contains a VCSEL array/driver chip that converts HDMI 2.1's high-speed differential pairs (TMDS/FRL) and auxiliary signals (EDID, HDCP, HPD, eARC, etc.) into multiple optical signals.</w:t>
      </w:r>
    </w:p>
    <w:p w14:paraId="154D7A1B">
      <w:pPr>
        <w:pStyle w:val="30"/>
        <w:keepNext w:val="0"/>
        <w:keepLines w:val="0"/>
        <w:widowControl/>
        <w:numPr>
          <w:ilvl w:val="0"/>
          <w:numId w:val="9"/>
        </w:numPr>
        <w:suppressLineNumbers w:val="0"/>
        <w:ind w:left="420" w:leftChars="0" w:hanging="420" w:firstLineChars="0"/>
        <w:rPr>
          <w:rFonts w:hint="eastAsia" w:ascii="等线" w:hAnsi="等线" w:eastAsia="等线" w:cs="等线"/>
          <w:color w:val="000000"/>
          <w:kern w:val="0"/>
          <w:sz w:val="21"/>
          <w:szCs w:val="21"/>
          <w:lang w:val="en-US" w:eastAsia="zh-CN" w:bidi="ar-SA"/>
        </w:rPr>
      </w:pPr>
      <w:r>
        <w:rPr>
          <w:rFonts w:hint="eastAsia" w:ascii="等线" w:hAnsi="等线" w:eastAsia="等线" w:cs="等线"/>
          <w:color w:val="000000"/>
          <w:kern w:val="0"/>
          <w:sz w:val="21"/>
          <w:szCs w:val="21"/>
          <w:lang w:val="en-US" w:eastAsia="zh-CN" w:bidi="ar-SA"/>
        </w:rPr>
        <w:t>MPO fiber backbone: Multi core multi mode fiber (commonly OM3, 850 nm), dedicated to pure optical transmission without a copper core.</w:t>
      </w:r>
    </w:p>
    <w:p w14:paraId="3501C323">
      <w:pPr>
        <w:pStyle w:val="30"/>
        <w:keepNext w:val="0"/>
        <w:keepLines w:val="0"/>
        <w:widowControl/>
        <w:numPr>
          <w:ilvl w:val="0"/>
          <w:numId w:val="9"/>
        </w:numPr>
        <w:suppressLineNumbers w:val="0"/>
        <w:ind w:left="420" w:leftChars="0" w:hanging="420" w:firstLineChars="0"/>
        <w:rPr>
          <w:rFonts w:hint="eastAsia" w:ascii="等线" w:hAnsi="等线" w:eastAsia="等线" w:cs="等线"/>
          <w:color w:val="000000"/>
          <w:kern w:val="0"/>
          <w:sz w:val="21"/>
          <w:szCs w:val="21"/>
          <w:lang w:val="en-US" w:eastAsia="zh-CN" w:bidi="ar-SA"/>
        </w:rPr>
      </w:pPr>
      <w:r>
        <w:rPr>
          <w:rFonts w:hint="eastAsia" w:ascii="等线" w:hAnsi="等线" w:eastAsia="等线" w:cs="等线"/>
          <w:color w:val="000000"/>
          <w:kern w:val="0"/>
          <w:sz w:val="21"/>
          <w:szCs w:val="21"/>
          <w:lang w:val="en-US" w:eastAsia="zh-CN" w:bidi="ar-SA"/>
        </w:rPr>
        <w:t>RX (Receiving End): Installed on the display side, featuring a photo-diode and a TIA/industrializing chip that converts optical signals into standard HDMI electrical signals.</w:t>
      </w:r>
    </w:p>
    <w:p w14:paraId="3BDC8ECD">
      <w:pPr>
        <w:pStyle w:val="4"/>
        <w:keepNext w:val="0"/>
        <w:keepLines w:val="0"/>
        <w:widowControl/>
        <w:numPr>
          <w:ilvl w:val="0"/>
          <w:numId w:val="0"/>
        </w:numPr>
        <w:suppressLineNumbers w:val="0"/>
        <w:ind w:leftChars="0"/>
        <w:rPr>
          <w:rFonts w:hint="eastAsia" w:ascii="等线" w:hAnsi="等线" w:eastAsia="等线" w:cs="等线"/>
          <w:color w:val="000000"/>
          <w:kern w:val="0"/>
          <w:sz w:val="21"/>
          <w:szCs w:val="21"/>
          <w:lang w:val="en-US" w:eastAsia="zh-CN" w:bidi="ar-SA"/>
        </w:rPr>
      </w:pPr>
      <w:r>
        <w:rPr>
          <w:rFonts w:hint="eastAsia" w:ascii="等线" w:hAnsi="等线" w:eastAsia="等线" w:cs="等线"/>
          <w:b/>
          <w:bCs/>
          <w:color w:val="000000"/>
          <w:kern w:val="0"/>
          <w:sz w:val="21"/>
          <w:szCs w:val="21"/>
          <w:lang w:val="en-US" w:eastAsia="zh-CN" w:bidi="ar-SA"/>
        </w:rPr>
        <w:t>4.2Key design features of the "Detachable / MPO" model</w:t>
      </w:r>
    </w:p>
    <w:p w14:paraId="335A0BFD">
      <w:pPr>
        <w:pStyle w:val="4"/>
        <w:keepNext w:val="0"/>
        <w:keepLines w:val="0"/>
        <w:widowControl/>
        <w:numPr>
          <w:ilvl w:val="0"/>
          <w:numId w:val="10"/>
        </w:numPr>
        <w:suppressLineNumbers w:val="0"/>
        <w:ind w:left="420" w:leftChars="0" w:hanging="420" w:firstLineChars="0"/>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bCs/>
          <w:color w:val="000000"/>
          <w:kern w:val="0"/>
          <w:sz w:val="21"/>
          <w:szCs w:val="21"/>
          <w:lang w:val="en-US" w:eastAsia="zh-CN" w:bidi="ar-SA"/>
        </w:rPr>
        <w:t>T</w:t>
      </w:r>
      <w:r>
        <w:rPr>
          <w:rFonts w:hint="eastAsia" w:ascii="等线" w:hAnsi="等线" w:eastAsia="等线" w:cs="等线"/>
          <w:b w:val="0"/>
          <w:bCs w:val="0"/>
          <w:color w:val="000000"/>
          <w:kern w:val="0"/>
          <w:sz w:val="21"/>
          <w:szCs w:val="21"/>
          <w:lang w:val="en-US" w:eastAsia="zh-CN" w:bidi="ar-SA"/>
        </w:rPr>
        <w:t>he HDMI-TX and HDMI-RX modules can be separated from the fiber optic backbone via an MPO connector, rather than being integrated into a single rigid cable.</w:t>
      </w:r>
    </w:p>
    <w:p w14:paraId="4EF20626">
      <w:pPr>
        <w:pStyle w:val="30"/>
        <w:keepNext w:val="0"/>
        <w:keepLines w:val="0"/>
        <w:widowControl/>
        <w:numPr>
          <w:ilvl w:val="0"/>
          <w:numId w:val="10"/>
        </w:numPr>
        <w:suppressLineNumbers w:val="0"/>
        <w:ind w:left="420" w:leftChars="0" w:hanging="420" w:firstLineChars="0"/>
        <w:rPr>
          <w:rFonts w:hint="eastAsia" w:ascii="等线" w:hAnsi="等线" w:eastAsia="等线" w:cs="等线"/>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During installation, first run the fine-diameter MPO fiber through conduits and pre-embed it in walls, regardless of Source/Display orientation (TX/RX modules will be installed later), to simplify cablin</w:t>
      </w:r>
      <w:r>
        <w:rPr>
          <w:rFonts w:hint="eastAsia" w:ascii="等线" w:hAnsi="等线" w:eastAsia="等线" w:cs="等线"/>
          <w:color w:val="000000"/>
          <w:kern w:val="0"/>
          <w:sz w:val="21"/>
          <w:szCs w:val="21"/>
          <w:lang w:val="en-US" w:eastAsia="zh-CN" w:bidi="ar-SA"/>
        </w:rPr>
        <w:t>g.</w:t>
      </w:r>
    </w:p>
    <w:p w14:paraId="101579DC">
      <w:pPr>
        <w:pStyle w:val="30"/>
        <w:keepNext w:val="0"/>
        <w:keepLines w:val="0"/>
        <w:widowControl/>
        <w:numPr>
          <w:ilvl w:val="0"/>
          <w:numId w:val="0"/>
        </w:numPr>
        <w:suppressLineNumbers w:val="0"/>
        <w:ind w:leftChars="0" w:right="0" w:rightChars="0"/>
        <w:rPr>
          <w:rFonts w:hint="eastAsia" w:ascii="等线" w:hAnsi="等线" w:eastAsia="等线" w:cs="等线"/>
          <w:color w:val="000000"/>
          <w:kern w:val="0"/>
          <w:sz w:val="18"/>
          <w:szCs w:val="18"/>
          <w:lang w:val="en-US" w:eastAsia="zh-CN" w:bidi="ar-SA"/>
        </w:rPr>
      </w:pPr>
      <w:r>
        <w:drawing>
          <wp:inline distT="0" distB="0" distL="114300" distR="114300">
            <wp:extent cx="6565265" cy="3392170"/>
            <wp:effectExtent l="0" t="0" r="6985" b="1778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1"/>
                    <a:stretch>
                      <a:fillRect/>
                    </a:stretch>
                  </pic:blipFill>
                  <pic:spPr>
                    <a:xfrm>
                      <a:off x="0" y="0"/>
                      <a:ext cx="6565265" cy="3392170"/>
                    </a:xfrm>
                    <a:prstGeom prst="rect">
                      <a:avLst/>
                    </a:prstGeom>
                    <a:noFill/>
                    <a:ln>
                      <a:noFill/>
                    </a:ln>
                  </pic:spPr>
                </pic:pic>
              </a:graphicData>
            </a:graphic>
          </wp:inline>
        </w:drawing>
      </w:r>
    </w:p>
    <w:p w14:paraId="37A260EA">
      <w:pPr>
        <w:pStyle w:val="30"/>
        <w:keepNext w:val="0"/>
        <w:keepLines w:val="0"/>
        <w:widowControl/>
        <w:numPr>
          <w:ilvl w:val="0"/>
          <w:numId w:val="0"/>
        </w:numPr>
        <w:suppressLineNumbers w:val="0"/>
        <w:ind w:leftChars="0" w:right="0" w:rightChars="0"/>
        <w:rPr>
          <w:rFonts w:hint="eastAsia" w:ascii="等线" w:hAnsi="等线" w:eastAsia="等线" w:cs="等线"/>
          <w:b/>
          <w:bCs/>
          <w:color w:val="000000"/>
          <w:kern w:val="0"/>
          <w:sz w:val="21"/>
          <w:szCs w:val="21"/>
          <w:lang w:val="en-US" w:eastAsia="zh-CN" w:bidi="ar-SA"/>
        </w:rPr>
      </w:pPr>
    </w:p>
    <w:p w14:paraId="4B823925">
      <w:pPr>
        <w:rPr>
          <w:rFonts w:hint="eastAsia" w:ascii="等线" w:hAnsi="等线" w:eastAsia="等线" w:cs="等线"/>
          <w:b/>
          <w:bCs/>
          <w:color w:val="000000"/>
          <w:kern w:val="0"/>
          <w:sz w:val="21"/>
          <w:szCs w:val="21"/>
          <w:lang w:val="en-US" w:eastAsia="zh-CN" w:bidi="ar-SA"/>
        </w:rPr>
      </w:pPr>
      <w:r>
        <w:rPr>
          <w:rFonts w:hint="eastAsia" w:ascii="等线" w:hAnsi="等线" w:eastAsia="等线" w:cs="等线"/>
          <w:b/>
          <w:bCs/>
          <w:color w:val="000000"/>
          <w:kern w:val="0"/>
          <w:sz w:val="21"/>
          <w:szCs w:val="21"/>
          <w:lang w:val="en-US" w:eastAsia="zh-CN" w:bidi="ar-SA"/>
        </w:rPr>
        <w:t>4.3Power Supply Specifications</w:t>
      </w:r>
    </w:p>
    <w:p w14:paraId="7576B3E9">
      <w:pPr>
        <w:keepNext w:val="0"/>
        <w:keepLines w:val="0"/>
        <w:widowControl/>
        <w:suppressLineNumbers w:val="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This product employs a USB 5V power supply solution, with the following specifications:</w:t>
      </w:r>
    </w:p>
    <w:p w14:paraId="668D7839">
      <w:pPr>
        <w:numPr>
          <w:ilvl w:val="0"/>
          <w:numId w:val="0"/>
        </w:numPr>
        <w:spacing w:after="200" w:line="276" w:lineRule="auto"/>
        <w:ind w:leftChars="0"/>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Standard Usage Requirements:</w:t>
      </w:r>
    </w:p>
    <w:p w14:paraId="219D77D2">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The RX (display unit) must be connected to a USB power cable to function properly.</w:t>
      </w:r>
    </w:p>
    <w:p w14:paraId="6933511B">
      <w:pPr>
        <w:numPr>
          <w:ilvl w:val="0"/>
          <w:numId w:val="0"/>
        </w:numPr>
        <w:spacing w:after="200" w:line="276" w:lineRule="auto"/>
        <w:ind w:leftChars="0"/>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The TX (signal source) must also be connected to a USB power adapter when certain devices lack sufficient power.</w:t>
      </w:r>
    </w:p>
    <w:p w14:paraId="2F4381F3">
      <w:pPr>
        <w:numPr>
          <w:ilvl w:val="0"/>
          <w:numId w:val="0"/>
        </w:numPr>
        <w:spacing w:after="200" w:line="276" w:lineRule="auto"/>
        <w:ind w:leftChars="0"/>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Usage recommendation: For long-distance transmission or high-power display devices, connect both the TX and RX ends to a 5V USB power supply simultaneously to ensure stable and reliable system operation.</w:t>
      </w:r>
    </w:p>
    <w:p w14:paraId="322144B7">
      <w:pPr>
        <w:rPr>
          <w:rFonts w:hint="eastAsia" w:ascii="等线" w:hAnsi="等线" w:eastAsia="等线" w:cs="等线"/>
          <w:b/>
          <w:bCs/>
          <w:color w:val="E46C0A" w:themeColor="accent6" w:themeShade="BF"/>
          <w:kern w:val="0"/>
          <w:sz w:val="28"/>
          <w:szCs w:val="28"/>
          <w:lang w:val="en-US" w:eastAsia="zh-CN" w:bidi="ar"/>
        </w:rPr>
      </w:pPr>
      <w:r>
        <w:rPr>
          <w:rFonts w:hint="eastAsia" w:ascii="等线" w:hAnsi="等线" w:eastAsia="等线" w:cs="等线"/>
          <w:b/>
          <w:bCs/>
          <w:color w:val="E46C0A" w:themeColor="accent6" w:themeShade="BF"/>
          <w:kern w:val="0"/>
          <w:sz w:val="28"/>
          <w:szCs w:val="28"/>
          <w:lang w:val="en-US" w:eastAsia="zh-CN" w:bidi="ar"/>
        </w:rPr>
        <w:t>Ⅴ:Applications</w:t>
      </w:r>
    </w:p>
    <w:p w14:paraId="7118AA21">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8K Home Theater System</w:t>
      </w:r>
    </w:p>
    <w:p w14:paraId="48BA05C7">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E-sports Displays and Gaming Equipment</w:t>
      </w:r>
    </w:p>
    <w:p w14:paraId="019D2C6D">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Commercial Displays and Digital Signage</w:t>
      </w:r>
    </w:p>
    <w:p w14:paraId="07163F40">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Security Monitoring Center</w:t>
      </w:r>
    </w:p>
    <w:p w14:paraId="1F3ECB10">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Radio and Television Broadcasting Studios</w:t>
      </w:r>
    </w:p>
    <w:p w14:paraId="3F1F0F74">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Medical Imaging Display System</w:t>
      </w:r>
    </w:p>
    <w:p w14:paraId="403928F8">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Data Center Room Display</w:t>
      </w:r>
    </w:p>
    <w:p w14:paraId="6BD67E44">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Stage performances and events held at the venue</w:t>
      </w:r>
    </w:p>
    <w:p w14:paraId="680D8302">
      <w:pPr>
        <w:keepNext w:val="0"/>
        <w:keepLines w:val="0"/>
        <w:widowControl/>
        <w:numPr>
          <w:ilvl w:val="0"/>
          <w:numId w:val="11"/>
        </w:numPr>
        <w:suppressLineNumbers w:val="0"/>
        <w:spacing w:after="200" w:line="276" w:lineRule="auto"/>
        <w:ind w:left="420" w:leftChars="0" w:hanging="420" w:firstLineChars="0"/>
        <w:jc w:val="left"/>
        <w:rPr>
          <w:rFonts w:hint="eastAsia" w:ascii="等线" w:hAnsi="等线" w:eastAsia="等线" w:cs="等线"/>
          <w:b w:val="0"/>
          <w:bCs w:val="0"/>
          <w:color w:val="000000"/>
          <w:kern w:val="0"/>
          <w:sz w:val="21"/>
          <w:szCs w:val="21"/>
          <w:lang w:val="en-US" w:eastAsia="zh-CN" w:bidi="ar-SA"/>
        </w:rPr>
      </w:pPr>
      <w:r>
        <w:rPr>
          <w:rFonts w:hint="eastAsia" w:ascii="等线" w:hAnsi="等线" w:eastAsia="等线" w:cs="等线"/>
          <w:b w:val="0"/>
          <w:bCs w:val="0"/>
          <w:color w:val="000000"/>
          <w:kern w:val="0"/>
          <w:sz w:val="21"/>
          <w:szCs w:val="21"/>
          <w:lang w:val="en-US" w:eastAsia="zh-CN" w:bidi="ar-SA"/>
        </w:rPr>
        <w:t>Industrial Control and Visualization</w:t>
      </w:r>
    </w:p>
    <w:p w14:paraId="472B415F">
      <w:pPr>
        <w:numPr>
          <w:ilvl w:val="0"/>
          <w:numId w:val="0"/>
        </w:numPr>
        <w:rPr>
          <w:rFonts w:hint="eastAsia" w:ascii="等线" w:hAnsi="等线" w:eastAsia="等线" w:cs="等线"/>
          <w:b/>
          <w:bCs/>
          <w:color w:val="E46C0A" w:themeColor="accent6" w:themeShade="BF"/>
          <w:kern w:val="0"/>
          <w:sz w:val="28"/>
          <w:szCs w:val="28"/>
          <w:lang w:val="en-US" w:eastAsia="zh-CN" w:bidi="ar"/>
        </w:rPr>
      </w:pPr>
      <w:r>
        <w:rPr>
          <w:rFonts w:hint="eastAsia" w:ascii="等线" w:hAnsi="等线" w:eastAsia="等线" w:cs="等线"/>
          <w:b/>
          <w:bCs/>
          <w:color w:val="E46C0A" w:themeColor="accent6" w:themeShade="BF"/>
          <w:kern w:val="0"/>
          <w:sz w:val="28"/>
          <w:szCs w:val="28"/>
          <w:lang w:val="en-US" w:eastAsia="zh-CN" w:bidi="ar"/>
        </w:rPr>
        <w:t>Ⅵ:Q&amp;A</w:t>
      </w:r>
    </w:p>
    <w:p w14:paraId="6AB323C3">
      <w:pPr>
        <w:numPr>
          <w:ilvl w:val="0"/>
          <w:numId w:val="0"/>
        </w:num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 Are there any direction requirements for product conn</w:t>
      </w:r>
      <w:bookmarkStart w:id="0" w:name="_GoBack"/>
      <w:bookmarkEnd w:id="0"/>
      <w:r>
        <w:rPr>
          <w:rFonts w:hint="eastAsia" w:ascii="等线" w:hAnsi="等线" w:eastAsia="等线" w:cs="等线"/>
          <w:b w:val="0"/>
          <w:bCs w:val="0"/>
          <w:color w:val="000000"/>
          <w:kern w:val="0"/>
          <w:sz w:val="21"/>
          <w:szCs w:val="21"/>
          <w:lang w:val="en-US" w:eastAsia="zh-CN" w:bidi="ar"/>
        </w:rPr>
        <w:t>ections? What problems can occur with incorrect connections?</w:t>
      </w:r>
    </w:p>
    <w:p w14:paraId="550D6E7B">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 xml:space="preserve">A1: The HDMI adapter has directional requirements – the Source signal port must be connected to the Display output port; reversed connections will prevent proper signal transmission. Always verify the port orientation before use. </w:t>
      </w:r>
    </w:p>
    <w:p w14:paraId="1B5FEE3A">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Q2: What are the precautions to observe when bending or pulling wire materials?</w:t>
      </w:r>
    </w:p>
    <w:p w14:paraId="18F4669C">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A2: Do not forcibly pull, twist, or crush the cable; avoid excessive bending. During use and installation, maintain a bending radius of at least 30 mm to prevent internal fiber fracture and signal transmission abnormalities.</w:t>
      </w:r>
    </w:p>
    <w:p w14:paraId="172F693E">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Q3: How to resolve abnormal power supply issues with the device?</w:t>
      </w:r>
    </w:p>
    <w:p w14:paraId="7ABE0E77">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A3: For normal operation, ensure stable USB 5V power supply. If issues such as device recognition failure, screen flickering, or no signal occur due to insufficient power, connect the device to a standard 5V external power source. For long-distance transmission scenarios, simultaneous power supply at both ends is recommended.</w:t>
      </w:r>
    </w:p>
    <w:p w14:paraId="0709420B">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Q4: What are the specification requirements for interface insertion and removal?</w:t>
      </w:r>
    </w:p>
    <w:p w14:paraId="5486C818">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A4: It is recommended to connect or disconnect interfaces when the device is powered off to prevent damage to interfaces or module failures caused by hot-plugging, thereby extending product lifespan.</w:t>
      </w:r>
    </w:p>
    <w:p w14:paraId="39C4F04B">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Q5: What happens if the TX (transmitter) and RX (receiver) are connected in reverse?</w:t>
      </w:r>
    </w:p>
    <w:p w14:paraId="68130BA5">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A5: Do not connect in reverse. Fiber optic HDMI is designed for unidirectional transmission; the TX end must be connected to a signal source (e.g., computer or media player), and the RX end must be connected to a display device (e.g., TV or projector). Reversed connection will result in no signal output (black screen).</w:t>
      </w:r>
    </w:p>
    <w:p w14:paraId="2B3477E0">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Q6: Is the MPO fiber backbone directional? What are the requirements for its polarity?</w:t>
      </w:r>
    </w:p>
    <w:p w14:paraId="45991B89">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A6: Yes, the MPO trunk requires attention to polarity. This product uses Type A polarity. Although originally designed for a 7-pin configuration, it is compatible with standard 12-pin MPO male connectors, Type A polarity, and OM3/OM4-grade cables.</w:t>
      </w:r>
    </w:p>
    <w:p w14:paraId="62F1BA45">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Q7: What precautions should be taken when inserting an MPO connector?</w:t>
      </w:r>
    </w:p>
    <w:p w14:paraId="25969142">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A7: Follow these steps:</w:t>
      </w:r>
    </w:p>
    <w:p w14:paraId="3F3C4B2E">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Before inserting or removing, always cover or uncover the dust cap to avoid touching the fiber end. Insert it aligned with the designated position. Ensure you hear a "click" sound indicating the connection is secure.</w:t>
      </w:r>
    </w:p>
    <w:p w14:paraId="15650FB0">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Q8: How to enable the CEC (Consumer Electronics Control) function?</w:t>
      </w:r>
    </w:p>
    <w:p w14:paraId="3C95D93B">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A8: Activation of the CEC function requires continuous power supply. Both the TX and RX terminals must remain powered. For devices that cease receiving external power after shutdown, connect the included USB power cable to a continuously powered USB-A port (e.g., a charging port on a wall outlet) to ensure proper operation of features such as CEC standby wake-up.</w:t>
      </w:r>
    </w:p>
    <w:p w14:paraId="29196E6C">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Q9: Do both ends require external power supply?</w:t>
      </w:r>
    </w:p>
    <w:p w14:paraId="58EE8136">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A9: The display end (RX) typically requires a 5V power supply (USB-A/Micro-USB). The signal source end (TX) may use the HDMI port for power in some scenarios, but for optimal CEC/eARC stability, it is recommended to power both ends.</w:t>
      </w:r>
    </w:p>
    <w:p w14:paraId="693DF63F">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Q10: Can third-party MPO fiber cables be used interchangeably?</w:t>
      </w:r>
    </w:p>
    <w:p w14:paraId="1142840F">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A10: Yes. You may use MPO cables from other brands as alternatives, provided they meet the following specifications: 12-core design, MPO female connector, Type A polarity, and OM3 or OM4 rating (originally 7-core but compatible with 12-core standard cables).</w:t>
      </w:r>
    </w:p>
    <w:p w14:paraId="76139AB9">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Q11: Will connecting an AV receiver or switch in between affect the performance?</w:t>
      </w:r>
    </w:p>
    <w:p w14:paraId="7CCE9E27">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A11: There will be an impact. The overall performance of the link depends on its weakest link. If the intermediate AV receiver or switcher only supports HDMI 2.0, the final output will be limited to HDMI 2.0 specifications. It is recommended to first test by bypassing intermediate devices.</w:t>
      </w:r>
    </w:p>
    <w:p w14:paraId="30541491">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Q12: What should I pay attention to before installation?</w:t>
      </w:r>
    </w:p>
    <w:p w14:paraId="53557641">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A12: Before installation, do not remove the protective label or dust cover from the cable. Do not fold or excessively bend the cable during wiring to avoid damaging the internal optical fibers.</w:t>
      </w:r>
    </w:p>
    <w:p w14:paraId="02C701E9">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Q13: Are fiber optic cables prone to damage? How should they be maintained regularly?</w:t>
      </w:r>
    </w:p>
    <w:p w14:paraId="17F92E62">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A13: Optical fibers are more fragile than copper cables and require specific bending radii (typically ≥20 mm in static conditions). Daily maintenance should focus on protecting the joints: use a dedicated MPO cleaning brush or brush sleeve to clean the end surfaces; avoid manual contact. Before formal wall installation or conduit burial, 반드시 connect the source end and display end and perform a full-resolution pressure test.</w:t>
      </w:r>
    </w:p>
    <w:p w14:paraId="318409A7">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Q14: How should I handle a dirty MPO joint?</w:t>
      </w:r>
    </w:p>
    <w:p w14:paraId="657C264F">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A14: Do not blow or wipe with a dry paper towel. Use a professional MPO fiber cleaning pen for cleaning, as this is essential for maintaining signal quality.</w:t>
      </w:r>
    </w:p>
    <w:p w14:paraId="6F09BC99">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Q15: If the HDMI connector is damaged, do I need to replace the entire cable?</w:t>
      </w:r>
    </w:p>
    <w:p w14:paraId="205DA939">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A15: Not required. This product features a detachable design; the HDMI module (TX/RX heads) can be purchased and replaced separately, eliminating the need to re-install the fiber optic backbone.</w:t>
      </w:r>
    </w:p>
    <w:p w14:paraId="56424091">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Q16: Will rewiring be required when upgrading to the new video interface standard in the future?</w:t>
      </w:r>
    </w:p>
    <w:p w14:paraId="025ADF4E">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A16: Not required. This is the core advantage of this product. If the interface standard upgrades in the future (e.g., to DP 2.0 or other protocols), you only need to replace the conversion modules at both ends; the pre-installed MPO fiber trunk within the wall can be reused.</w:t>
      </w:r>
    </w:p>
    <w:p w14:paraId="652BE85E">
      <w:pPr>
        <w:rPr>
          <w:rStyle w:val="134"/>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Q17: Can I only purchase a separable HDMI connector (TX/RX)?</w:t>
      </w:r>
    </w:p>
    <w:p w14:paraId="4EE03E30">
      <w:pPr>
        <w:rPr>
          <w:rFonts w:hint="eastAsia" w:ascii="等线" w:hAnsi="等线" w:eastAsia="等线" w:cs="等线"/>
          <w:b w:val="0"/>
          <w:bCs w:val="0"/>
          <w:color w:val="000000"/>
          <w:kern w:val="0"/>
          <w:sz w:val="21"/>
          <w:szCs w:val="21"/>
          <w:lang w:val="en-US" w:eastAsia="zh-CN" w:bidi="ar"/>
        </w:rPr>
      </w:pPr>
      <w:r>
        <w:rPr>
          <w:rFonts w:hint="eastAsia" w:ascii="等线" w:hAnsi="等线" w:eastAsia="等线" w:cs="等线"/>
          <w:b w:val="0"/>
          <w:bCs w:val="0"/>
          <w:color w:val="000000"/>
          <w:kern w:val="0"/>
          <w:sz w:val="21"/>
          <w:szCs w:val="21"/>
          <w:lang w:val="en-US" w:eastAsia="zh-CN" w:bidi="ar"/>
        </w:rPr>
        <w:t>A17: The separable connector is available for purchase separately.</w:t>
      </w:r>
    </w:p>
    <w:p w14:paraId="70124FFD">
      <w:pPr>
        <w:numPr>
          <w:ilvl w:val="0"/>
          <w:numId w:val="0"/>
        </w:numPr>
        <w:rPr>
          <w:rFonts w:hint="eastAsia" w:ascii="等线" w:hAnsi="等线" w:eastAsia="等线" w:cs="等线"/>
          <w:b/>
          <w:bCs/>
          <w:color w:val="E46C0A" w:themeColor="accent6" w:themeShade="BF"/>
          <w:kern w:val="0"/>
          <w:sz w:val="28"/>
          <w:szCs w:val="28"/>
          <w:lang w:val="en-US" w:eastAsia="zh-CN" w:bidi="ar"/>
        </w:rPr>
      </w:pPr>
      <w:r>
        <w:rPr>
          <w:rFonts w:hint="eastAsia" w:ascii="等线" w:hAnsi="等线" w:eastAsia="等线" w:cs="等线"/>
          <w:b/>
          <w:bCs/>
          <w:color w:val="E46C0A" w:themeColor="accent6" w:themeShade="BF"/>
          <w:kern w:val="0"/>
          <w:sz w:val="28"/>
          <w:szCs w:val="28"/>
          <w:lang w:val="en-US" w:eastAsia="zh-CN" w:bidi="ar"/>
        </w:rPr>
        <w:t xml:space="preserve">Ⅶ:Related Series </w:t>
      </w:r>
    </w:p>
    <w:p w14:paraId="55B5D1C4">
      <w:pPr>
        <w:numPr>
          <w:ilvl w:val="0"/>
          <w:numId w:val="0"/>
        </w:numPr>
        <w:jc w:val="left"/>
        <w:rPr>
          <w:rFonts w:hint="default" w:eastAsia="宋体"/>
          <w:lang w:val="en-US" w:eastAsia="zh-CN"/>
        </w:rPr>
      </w:pPr>
      <w:r>
        <w:drawing>
          <wp:inline distT="0" distB="0" distL="114300" distR="114300">
            <wp:extent cx="2421890" cy="1732915"/>
            <wp:effectExtent l="0" t="0" r="1651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
                    <a:stretch>
                      <a:fillRect/>
                    </a:stretch>
                  </pic:blipFill>
                  <pic:spPr>
                    <a:xfrm>
                      <a:off x="0" y="0"/>
                      <a:ext cx="2421890" cy="1732915"/>
                    </a:xfrm>
                    <a:prstGeom prst="rect">
                      <a:avLst/>
                    </a:prstGeom>
                  </pic:spPr>
                </pic:pic>
              </a:graphicData>
            </a:graphic>
          </wp:inline>
        </w:drawing>
      </w:r>
      <w:r>
        <w:rPr>
          <w:rFonts w:hint="eastAsia" w:eastAsia="宋体"/>
          <w:lang w:val="en-US" w:eastAsia="zh-CN"/>
        </w:rPr>
        <w:t xml:space="preserve">     </w:t>
      </w:r>
      <w:r>
        <w:drawing>
          <wp:inline distT="0" distB="0" distL="114300" distR="114300">
            <wp:extent cx="2421890" cy="1732915"/>
            <wp:effectExtent l="0" t="0" r="16510" b="6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2"/>
                    <a:stretch>
                      <a:fillRect/>
                    </a:stretch>
                  </pic:blipFill>
                  <pic:spPr>
                    <a:xfrm>
                      <a:off x="0" y="0"/>
                      <a:ext cx="2421890" cy="1732915"/>
                    </a:xfrm>
                    <a:prstGeom prst="rect">
                      <a:avLst/>
                    </a:prstGeom>
                  </pic:spPr>
                </pic:pic>
              </a:graphicData>
            </a:graphic>
          </wp:inline>
        </w:drawing>
      </w:r>
    </w:p>
    <w:p w14:paraId="2DD817D2">
      <w:pPr>
        <w:numPr>
          <w:ilvl w:val="0"/>
          <w:numId w:val="0"/>
        </w:numPr>
        <w:jc w:val="left"/>
        <w:rPr>
          <w:rFonts w:hint="eastAsia" w:ascii="等线" w:hAnsi="等线" w:eastAsia="等线" w:cs="等线"/>
          <w:b/>
          <w:bCs/>
          <w:lang w:val="en-US" w:eastAsia="zh-CN"/>
        </w:rPr>
      </w:pPr>
      <w:r>
        <w:rPr>
          <w:rFonts w:hint="eastAsia" w:ascii="等线" w:hAnsi="等线" w:eastAsia="等线" w:cs="等线"/>
          <w:b/>
          <w:bCs/>
          <w:lang w:val="en-US" w:eastAsia="zh-CN"/>
        </w:rPr>
        <w:t>HDMI 2.1 Pure Fiber Cable                                             HDMI 2.0 Pure Fiber Cable</w:t>
      </w:r>
    </w:p>
    <w:p w14:paraId="09663842">
      <w:pPr>
        <w:numPr>
          <w:ilvl w:val="0"/>
          <w:numId w:val="0"/>
        </w:numPr>
        <w:jc w:val="left"/>
        <w:rPr>
          <w:rFonts w:hint="eastAsia" w:ascii="等线" w:hAnsi="等线" w:eastAsia="等线" w:cs="等线"/>
          <w:b/>
          <w:bCs/>
          <w:lang w:val="en-US" w:eastAsia="zh-CN"/>
        </w:rPr>
      </w:pPr>
      <w:r>
        <w:rPr>
          <w:rFonts w:hint="eastAsia" w:ascii="等线" w:hAnsi="等线" w:eastAsia="等线" w:cs="等线"/>
          <w:b/>
          <w:bCs/>
          <w:lang w:val="en-US" w:eastAsia="zh-CN"/>
        </w:rPr>
        <w:t>Model: SHPC-8700                                                            Model: SHPC-9860</w:t>
      </w:r>
    </w:p>
    <w:p w14:paraId="4270CB38">
      <w:pPr>
        <w:numPr>
          <w:ilvl w:val="0"/>
          <w:numId w:val="0"/>
        </w:numPr>
        <w:rPr>
          <w:rFonts w:hint="default"/>
          <w:lang w:val="en-US" w:eastAsia="zh-CN"/>
        </w:rPr>
      </w:pPr>
    </w:p>
    <w:p w14:paraId="1C7AB4BD">
      <w:pPr>
        <w:numPr>
          <w:ilvl w:val="0"/>
          <w:numId w:val="0"/>
        </w:numPr>
        <w:rPr>
          <w:rFonts w:hint="default"/>
          <w:lang w:val="en-US" w:eastAsia="zh-CN"/>
        </w:rPr>
      </w:pPr>
    </w:p>
    <w:p w14:paraId="38D04D25">
      <w:pPr>
        <w:numPr>
          <w:ilvl w:val="0"/>
          <w:numId w:val="0"/>
        </w:numPr>
        <w:rPr>
          <w:rFonts w:hint="default"/>
          <w:lang w:val="en-US" w:eastAsia="zh-CN"/>
        </w:rPr>
      </w:pPr>
    </w:p>
    <w:p w14:paraId="65BAB467">
      <w:pPr>
        <w:rPr>
          <w:rStyle w:val="134"/>
          <w:rFonts w:hint="eastAsia" w:ascii="等线" w:hAnsi="等线" w:eastAsia="等线" w:cs="等线"/>
          <w:b w:val="0"/>
          <w:bCs w:val="0"/>
          <w:color w:val="000000"/>
          <w:kern w:val="0"/>
          <w:sz w:val="21"/>
          <w:szCs w:val="21"/>
          <w:lang w:val="en-US" w:eastAsia="zh-CN" w:bidi="ar"/>
        </w:rPr>
      </w:pPr>
    </w:p>
    <w:p w14:paraId="2EAB0BEA">
      <w:pPr>
        <w:rPr>
          <w:rStyle w:val="134"/>
          <w:rFonts w:hint="eastAsia" w:ascii="等线" w:hAnsi="等线" w:eastAsia="等线" w:cs="等线"/>
          <w:b w:val="0"/>
          <w:bCs w:val="0"/>
          <w:color w:val="000000"/>
          <w:kern w:val="0"/>
          <w:sz w:val="18"/>
          <w:szCs w:val="18"/>
          <w:lang w:val="en-US" w:eastAsia="zh-CN" w:bidi="ar"/>
        </w:rPr>
      </w:pPr>
    </w:p>
    <w:sectPr>
      <w:headerReference r:id="rId5" w:type="default"/>
      <w:footerReference r:id="rId6" w:type="default"/>
      <w:pgSz w:w="11906" w:h="16838"/>
      <w:pgMar w:top="1440" w:right="566" w:bottom="1440" w:left="1000" w:header="57" w:footer="57"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E3C1">
    <w:pPr>
      <w:pStyle w:val="24"/>
      <w:jc w:val="right"/>
      <w:rPr>
        <w:rFonts w:hint="eastAsia" w:ascii="等线" w:hAnsi="等线" w:eastAsia="等线" w:cs="等线"/>
      </w:rPr>
    </w:pPr>
    <w:r>
      <w:rPr>
        <w:sz w:val="22"/>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-18415</wp:posOffset>
              </wp:positionV>
              <wp:extent cx="7610475" cy="285750"/>
              <wp:effectExtent l="38735" t="15240" r="46990" b="80010"/>
              <wp:wrapNone/>
              <wp:docPr id="9" name="流程图: 过程 9"/>
              <wp:cNvGraphicFramePr/>
              <a:graphic xmlns:a="http://schemas.openxmlformats.org/drawingml/2006/main">
                <a:graphicData uri="http://schemas.microsoft.com/office/word/2010/wordprocessingShape">
                  <wps:wsp>
                    <wps:cNvSpPr/>
                    <wps:spPr>
                      <a:xfrm>
                        <a:off x="0" y="0"/>
                        <a:ext cx="7610475" cy="285750"/>
                      </a:xfrm>
                      <a:prstGeom prst="flowChartProcess">
                        <a:avLst/>
                      </a:prstGeom>
                      <a:solidFill>
                        <a:schemeClr val="accent6"/>
                      </a:solidFill>
                      <a:ln>
                        <a:solidFill>
                          <a:schemeClr val="accent6"/>
                        </a:solidFill>
                      </a:ln>
                    </wps:spPr>
                    <wps:style>
                      <a:lnRef idx="1">
                        <a:schemeClr val="accent1"/>
                      </a:lnRef>
                      <a:fillRef idx="3">
                        <a:schemeClr val="accent1"/>
                      </a:fillRef>
                      <a:effectRef idx="2">
                        <a:schemeClr val="accent1"/>
                      </a:effectRef>
                      <a:fontRef idx="minor">
                        <a:schemeClr val="lt1"/>
                      </a:fontRef>
                    </wps:style>
                    <wps:txbx>
                      <w:txbxContent>
                        <w:p w14:paraId="273145F6">
                          <w:pPr>
                            <w:pStyle w:val="24"/>
                            <w:jc w:val="center"/>
                            <w:rPr>
                              <w:rFonts w:hint="eastAsia" w:ascii="等线" w:hAnsi="等线" w:eastAsia="等线" w:cs="等线"/>
                              <w:sz w:val="24"/>
                              <w:szCs w:val="24"/>
                              <w:lang w:eastAsia="zh-CN"/>
                            </w:rPr>
                          </w:pPr>
                          <w:r>
                            <w:rPr>
                              <w:rFonts w:hint="eastAsia" w:ascii="Times New Roman" w:hAnsi="等线" w:eastAsia="微软雅黑" w:cs="等线"/>
                              <w:sz w:val="24"/>
                              <w:szCs w:val="24"/>
                              <w:lang w:val="en-US" w:eastAsia="zh-CN" w:bidi="ar-SA"/>
                            </w:rPr>
                            <w:t>www.smartavlink.com| www.elikecorp.com</w:t>
                          </w:r>
                        </w:p>
                        <w:p w14:paraId="137B7DFB">
                          <w:pPr>
                            <w:rPr>
                              <w:rFonts w:hint="eastAsia" w:ascii="等线" w:hAnsi="等线" w:eastAsia="等线" w:cs="等线"/>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54pt;margin-top:-1.45pt;height:22.5pt;width:599.25pt;z-index:251659264;v-text-anchor:middle;mso-width-relative:page;mso-height-relative:page;" fillcolor="#F79646 [3209]" filled="t" stroked="t" coordsize="21600,21600" o:gfxdata="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34kwnbAAAACwEAAA8AAAAAAAAAAQAgAAAAIgAAAGRycy9kb3ducmV2LnhtbFBLAQIUABQAAAAI&#10;AIdO4kDOWKldzgIAAKoFAAAOAAAAAAAAAAEAIAAAACoBAABkcnMvZTJvRG9jLnhtbFBLBQYAAAAA&#10;BgAGAFkBAABqBgAAAAA=&#10;">
              <v:fill on="t" focussize="0,0"/>
              <v:stroke color="#F79646 [3209]" joinstyle="round"/>
              <v:imagedata o:title=""/>
              <o:lock v:ext="edit" aspectratio="f"/>
              <v:shadow on="t" color="#000000" opacity="22937f" offset="0pt,1.81102362204724pt" origin="0f,32768f" matrix="65536f,0f,0f,65536f"/>
              <v:textbox>
                <w:txbxContent>
                  <w:p w14:paraId="273145F6">
                    <w:pPr>
                      <w:pStyle w:val="24"/>
                      <w:jc w:val="center"/>
                      <w:rPr>
                        <w:rFonts w:hint="eastAsia" w:ascii="等线" w:hAnsi="等线" w:eastAsia="等线" w:cs="等线"/>
                        <w:sz w:val="24"/>
                        <w:szCs w:val="24"/>
                        <w:lang w:eastAsia="zh-CN"/>
                      </w:rPr>
                    </w:pPr>
                    <w:r>
                      <w:rPr>
                        <w:rFonts w:hint="eastAsia" w:ascii="Times New Roman" w:hAnsi="等线" w:eastAsia="微软雅黑" w:cs="等线"/>
                        <w:sz w:val="24"/>
                        <w:szCs w:val="24"/>
                        <w:lang w:val="en-US" w:eastAsia="zh-CN" w:bidi="ar-SA"/>
                      </w:rPr>
                      <w:t>www.smartavlink.com| www.elikecorp.com</w:t>
                    </w:r>
                  </w:p>
                  <w:p w14:paraId="137B7DFB">
                    <w:pPr>
                      <w:rPr>
                        <w:rFonts w:hint="eastAsia" w:ascii="等线" w:hAnsi="等线" w:eastAsia="等线" w:cs="等线"/>
                        <w:sz w:val="24"/>
                        <w:szCs w:val="24"/>
                      </w:rPr>
                    </w:pPr>
                  </w:p>
                </w:txbxContent>
              </v:textbox>
            </v:shape>
          </w:pict>
        </mc:Fallback>
      </mc:AlternateContent>
    </w:r>
  </w:p>
  <w:p w14:paraId="0CFC3E75">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2318">
    <w:pPr>
      <w:keepNext w:val="0"/>
      <w:keepLines w:val="0"/>
      <w:widowControl/>
      <w:suppressLineNumbers w:val="0"/>
      <w:spacing w:after="0" w:line="240" w:lineRule="auto"/>
      <w:ind w:left="0" w:leftChars="0" w:firstLine="0" w:firstLineChars="0"/>
      <w:jc w:val="both"/>
      <w:rPr>
        <w:rFonts w:hint="eastAsia" w:ascii="等线" w:hAnsi="等线" w:eastAsia="等线" w:cs="等线"/>
        <w:b/>
        <w:bCs/>
        <w:kern w:val="0"/>
        <w:sz w:val="30"/>
        <w:szCs w:val="30"/>
        <w:lang w:val="en-US" w:eastAsia="zh-CN" w:bidi="ar"/>
      </w:rPr>
    </w:pPr>
    <w:r>
      <w:rPr>
        <w:rFonts w:ascii="宋体" w:hAnsi="宋体" w:eastAsia="宋体" w:cs="宋体"/>
        <w:kern w:val="0"/>
        <w:sz w:val="24"/>
        <w:szCs w:val="24"/>
        <w:lang w:val="en-US" w:eastAsia="zh-CN" w:bidi="ar"/>
      </w:rPr>
      <w:drawing>
        <wp:inline distT="0" distB="0" distL="114300" distR="114300">
          <wp:extent cx="1096010" cy="417195"/>
          <wp:effectExtent l="0" t="0" r="8890" b="190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
                  <a:stretch>
                    <a:fillRect/>
                  </a:stretch>
                </pic:blipFill>
                <pic:spPr>
                  <a:xfrm>
                    <a:off x="0" y="0"/>
                    <a:ext cx="1096010" cy="417195"/>
                  </a:xfrm>
                  <a:prstGeom prst="rect">
                    <a:avLst/>
                  </a:prstGeom>
                  <a:noFill/>
                  <a:ln w="9525">
                    <a:noFill/>
                  </a:ln>
                </pic:spPr>
              </pic:pic>
            </a:graphicData>
          </a:graphic>
        </wp:inline>
      </w:drawing>
    </w:r>
    <w:r>
      <w:rPr>
        <w:rFonts w:hint="eastAsia" w:ascii="Times New Roman" w:hAnsi="宋体" w:eastAsia="微软雅黑" w:cs="宋体"/>
        <w:kern w:val="0"/>
        <w:sz w:val="30"/>
        <w:szCs w:val="30"/>
        <w:lang w:val="en-US" w:eastAsia="zh-CN" w:bidi="ar"/>
      </w:rPr>
      <w:t xml:space="preserve">              </w:t>
    </w:r>
    <w:r>
      <w:rPr>
        <w:rFonts w:hint="eastAsia" w:ascii="等线" w:hAnsi="等线" w:eastAsia="等线" w:cs="等线"/>
        <w:b/>
        <w:bCs/>
        <w:kern w:val="0"/>
        <w:sz w:val="30"/>
        <w:szCs w:val="30"/>
        <w:lang w:val="en-US" w:eastAsia="zh-CN" w:bidi="ar"/>
      </w:rPr>
      <w:t xml:space="preserve">SHENZHEN EUROWAY TECHNOLOGY CO.,LTD </w:t>
    </w:r>
  </w:p>
  <w:p w14:paraId="0649C5AB">
    <w:pPr>
      <w:keepNext w:val="0"/>
      <w:keepLines w:val="0"/>
      <w:widowControl/>
      <w:suppressLineNumbers w:val="0"/>
      <w:ind w:left="-220" w:leftChars="-100" w:firstLine="3001" w:firstLineChars="1000"/>
      <w:jc w:val="both"/>
      <w:rPr>
        <w:rFonts w:hint="eastAsia" w:ascii="等线" w:hAnsi="等线" w:eastAsia="等线" w:cs="等线"/>
        <w:b/>
        <w:bCs/>
        <w:kern w:val="0"/>
        <w:sz w:val="30"/>
        <w:szCs w:val="30"/>
        <w:lang w:val="en-US" w:eastAsia="zh-CN" w:bidi="ar"/>
      </w:rPr>
    </w:pPr>
    <w:r>
      <w:rPr>
        <w:rFonts w:hint="eastAsia" w:ascii="等线" w:hAnsi="等线" w:eastAsia="等线" w:cs="等线"/>
        <w:b/>
        <w:bCs/>
        <w:sz w:val="30"/>
        <w:szCs w:val="30"/>
        <w:lang w:val="en-US"/>
      </w:rPr>
      <mc:AlternateContent>
        <mc:Choice Requires="wps">
          <w:drawing>
            <wp:anchor distT="0" distB="0" distL="114300" distR="114300" simplePos="0" relativeHeight="251660288" behindDoc="0" locked="0" layoutInCell="1" allowOverlap="1">
              <wp:simplePos x="0" y="0"/>
              <wp:positionH relativeFrom="column">
                <wp:posOffset>-628650</wp:posOffset>
              </wp:positionH>
              <wp:positionV relativeFrom="paragraph">
                <wp:posOffset>276860</wp:posOffset>
              </wp:positionV>
              <wp:extent cx="7572375" cy="0"/>
              <wp:effectExtent l="0" t="15875" r="9525" b="22225"/>
              <wp:wrapNone/>
              <wp:docPr id="4" name="直接连接符 4"/>
              <wp:cNvGraphicFramePr/>
              <a:graphic xmlns:a="http://schemas.openxmlformats.org/drawingml/2006/main">
                <a:graphicData uri="http://schemas.microsoft.com/office/word/2010/wordprocessingShape">
                  <wps:wsp>
                    <wps:cNvCnPr/>
                    <wps:spPr>
                      <a:xfrm>
                        <a:off x="657225" y="1137920"/>
                        <a:ext cx="7572375" cy="0"/>
                      </a:xfrm>
                      <a:prstGeom prst="line">
                        <a:avLst/>
                      </a:prstGeom>
                      <a:ln w="31750">
                        <a:gradFill>
                          <a:gsLst>
                            <a:gs pos="50000">
                              <a:schemeClr val="accent6"/>
                            </a:gs>
                            <a:gs pos="0">
                              <a:schemeClr val="accent6">
                                <a:lumMod val="25000"/>
                                <a:lumOff val="75000"/>
                              </a:schemeClr>
                            </a:gs>
                            <a:gs pos="100000">
                              <a:schemeClr val="accent6">
                                <a:lumMod val="85000"/>
                              </a:schemeClr>
                            </a:gs>
                          </a:gsLst>
                          <a:lin ang="5400000" scaled="0"/>
                        </a:gradFill>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5pt;margin-top:21.8pt;height:0pt;width:596.25pt;z-index:251660288;mso-width-relative:page;mso-height-relative:page;" filled="f" stroked="t" coordsize="21600,21600" o:gfxdata="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5iFBjXAAAACgEAAA8AAAAAAAAAAQAgAAAAIgAAAGRycy9kb3ducmV2LnhtbFBLAQIUABQAAAAI&#10;AIdO4kChDhXDJwIAAHMEAAAOAAAAAAAAAAEAIAAAACYBAABkcnMvZTJvRG9jLnhtbFBLBQYAAAAA&#10;BgAGAFkBAAC/BQAAAAA=&#10;">
              <v:fill on="f" focussize="0,0"/>
              <v:stroke weight="2.5pt" color="#000000" joinstyle="round"/>
              <v:imagedata o:title=""/>
              <o:lock v:ext="edit" aspectratio="f"/>
            </v:line>
          </w:pict>
        </mc:Fallback>
      </mc:AlternateContent>
    </w:r>
    <w:r>
      <w:rPr>
        <w:rFonts w:hint="eastAsia" w:ascii="等线" w:hAnsi="等线" w:eastAsia="等线" w:cs="等线"/>
        <w:b/>
        <w:bCs/>
        <w:sz w:val="30"/>
        <w:szCs w:val="30"/>
        <w:lang w:val="en-US" w:eastAsia="zh-CN"/>
      </w:rPr>
      <w:t xml:space="preserve">E-LIKE INDUSTRIAL (HONGKONG)  LIMITED </w:t>
    </w:r>
  </w:p>
  <w:p w14:paraId="4E1526EF">
    <w:pPr>
      <w:pStyle w:val="25"/>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47C4C"/>
    <w:multiLevelType w:val="singleLevel"/>
    <w:tmpl w:val="99F47C4C"/>
    <w:lvl w:ilvl="0" w:tentative="0">
      <w:start w:val="1"/>
      <w:numFmt w:val="upperRoman"/>
      <w:suff w:val="space"/>
      <w:lvlText w:val="%1."/>
      <w:lvlJc w:val="left"/>
    </w:lvl>
  </w:abstractNum>
  <w:abstractNum w:abstractNumId="1">
    <w:nsid w:val="D2EC404C"/>
    <w:multiLevelType w:val="singleLevel"/>
    <w:tmpl w:val="D2EC404C"/>
    <w:lvl w:ilvl="0" w:tentative="0">
      <w:start w:val="1"/>
      <w:numFmt w:val="bullet"/>
      <w:lvlText w:val=""/>
      <w:lvlJc w:val="left"/>
      <w:pPr>
        <w:ind w:left="420" w:hanging="420"/>
      </w:pPr>
      <w:rPr>
        <w:rFonts w:hint="default" w:ascii="Wingdings" w:hAnsi="Wingdings"/>
      </w:rPr>
    </w:lvl>
  </w:abstractNum>
  <w:abstractNum w:abstractNumId="2">
    <w:nsid w:val="DC44C117"/>
    <w:multiLevelType w:val="singleLevel"/>
    <w:tmpl w:val="DC44C117"/>
    <w:lvl w:ilvl="0" w:tentative="0">
      <w:start w:val="1"/>
      <w:numFmt w:val="bullet"/>
      <w:lvlText w:val=""/>
      <w:lvlJc w:val="left"/>
      <w:pPr>
        <w:ind w:left="420" w:hanging="420"/>
      </w:pPr>
      <w:rPr>
        <w:rFonts w:hint="default" w:ascii="Wingdings" w:hAnsi="Wingdings"/>
        <w:color w:val="FF0000"/>
        <w:highlight w:val="none"/>
      </w:rPr>
    </w:lvl>
  </w:abstractNum>
  <w:abstractNum w:abstractNumId="3">
    <w:nsid w:val="E487B4BD"/>
    <w:multiLevelType w:val="singleLevel"/>
    <w:tmpl w:val="E487B4BD"/>
    <w:lvl w:ilvl="0" w:tentative="0">
      <w:start w:val="1"/>
      <w:numFmt w:val="bullet"/>
      <w:lvlText w:val=""/>
      <w:lvlJc w:val="left"/>
      <w:pPr>
        <w:ind w:left="420" w:hanging="420"/>
      </w:pPr>
      <w:rPr>
        <w:rFonts w:hint="default" w:ascii="Wingdings" w:hAnsi="Wingdings"/>
      </w:rPr>
    </w:lvl>
  </w:abstractNum>
  <w:abstractNum w:abstractNumId="4">
    <w:nsid w:val="EC44942C"/>
    <w:multiLevelType w:val="singleLevel"/>
    <w:tmpl w:val="EC44942C"/>
    <w:lvl w:ilvl="0" w:tentative="0">
      <w:start w:val="1"/>
      <w:numFmt w:val="bullet"/>
      <w:lvlText w:val=""/>
      <w:lvlJc w:val="left"/>
      <w:pPr>
        <w:ind w:left="420" w:hanging="420"/>
      </w:pPr>
      <w:rPr>
        <w:rFonts w:hint="default" w:ascii="Wingdings" w:hAnsi="Wingdings"/>
      </w:rPr>
    </w:lvl>
  </w:abstractNum>
  <w:abstractNum w:abstractNumId="5">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6">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7">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8">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9">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6"/>
  </w:num>
  <w:num w:numId="2">
    <w:abstractNumId w:val="9"/>
  </w:num>
  <w:num w:numId="3">
    <w:abstractNumId w:val="10"/>
  </w:num>
  <w:num w:numId="4">
    <w:abstractNumId w:val="7"/>
  </w:num>
  <w:num w:numId="5">
    <w:abstractNumId w:val="5"/>
  </w:num>
  <w:num w:numId="6">
    <w:abstractNumId w:val="8"/>
  </w:num>
  <w:num w:numId="7">
    <w:abstractNumId w:val="0"/>
  </w:num>
  <w:num w:numId="8">
    <w:abstractNumId w:val="3"/>
  </w:num>
  <w:num w:numId="9">
    <w:abstractNumId w:val="4"/>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88085A"/>
    <w:rsid w:val="00AA1D8D"/>
    <w:rsid w:val="00AB205B"/>
    <w:rsid w:val="00B47730"/>
    <w:rsid w:val="00CB0664"/>
    <w:rsid w:val="00CF733F"/>
    <w:rsid w:val="00D653DE"/>
    <w:rsid w:val="00D741C2"/>
    <w:rsid w:val="00FC693F"/>
    <w:rsid w:val="04D74A36"/>
    <w:rsid w:val="054F2720"/>
    <w:rsid w:val="05FD2B10"/>
    <w:rsid w:val="08E16062"/>
    <w:rsid w:val="0BD31C1D"/>
    <w:rsid w:val="0F6B624C"/>
    <w:rsid w:val="10A5627E"/>
    <w:rsid w:val="10A716CE"/>
    <w:rsid w:val="14D62EA9"/>
    <w:rsid w:val="17FB2994"/>
    <w:rsid w:val="189F7A56"/>
    <w:rsid w:val="192561AE"/>
    <w:rsid w:val="19A90B8D"/>
    <w:rsid w:val="1C8C6544"/>
    <w:rsid w:val="222B4109"/>
    <w:rsid w:val="229338D3"/>
    <w:rsid w:val="239A5DB6"/>
    <w:rsid w:val="248A3369"/>
    <w:rsid w:val="266B541C"/>
    <w:rsid w:val="26B93F6F"/>
    <w:rsid w:val="271854F5"/>
    <w:rsid w:val="28A76BA9"/>
    <w:rsid w:val="2A431C41"/>
    <w:rsid w:val="2AD510B6"/>
    <w:rsid w:val="2BA246D3"/>
    <w:rsid w:val="2D3B5B48"/>
    <w:rsid w:val="2DC54131"/>
    <w:rsid w:val="2F7B66D0"/>
    <w:rsid w:val="30C144D3"/>
    <w:rsid w:val="32B36180"/>
    <w:rsid w:val="331865C6"/>
    <w:rsid w:val="34191C89"/>
    <w:rsid w:val="37C87FD8"/>
    <w:rsid w:val="38EA21D0"/>
    <w:rsid w:val="3D967F69"/>
    <w:rsid w:val="3EF913BF"/>
    <w:rsid w:val="412D1483"/>
    <w:rsid w:val="41C917A8"/>
    <w:rsid w:val="42F75C15"/>
    <w:rsid w:val="43DB0AC6"/>
    <w:rsid w:val="448C05DF"/>
    <w:rsid w:val="45050ABD"/>
    <w:rsid w:val="460743C1"/>
    <w:rsid w:val="4779309D"/>
    <w:rsid w:val="47D74267"/>
    <w:rsid w:val="48252DC4"/>
    <w:rsid w:val="4A225C6E"/>
    <w:rsid w:val="4A38723F"/>
    <w:rsid w:val="540C5D72"/>
    <w:rsid w:val="549D0C50"/>
    <w:rsid w:val="5523289A"/>
    <w:rsid w:val="578266F6"/>
    <w:rsid w:val="581346E7"/>
    <w:rsid w:val="59AC5554"/>
    <w:rsid w:val="5CB16B20"/>
    <w:rsid w:val="5DA33272"/>
    <w:rsid w:val="5FFD0363"/>
    <w:rsid w:val="61074273"/>
    <w:rsid w:val="61500EBB"/>
    <w:rsid w:val="61AE0CC9"/>
    <w:rsid w:val="6361115D"/>
    <w:rsid w:val="63ED4EA5"/>
    <w:rsid w:val="65D55283"/>
    <w:rsid w:val="660E4EA0"/>
    <w:rsid w:val="68817BAC"/>
    <w:rsid w:val="6A883473"/>
    <w:rsid w:val="6B41363D"/>
    <w:rsid w:val="71824552"/>
    <w:rsid w:val="72BA2DDD"/>
    <w:rsid w:val="72BC22AC"/>
    <w:rsid w:val="72CE60E3"/>
    <w:rsid w:val="74FB1AAE"/>
    <w:rsid w:val="773D3837"/>
    <w:rsid w:val="777A05E8"/>
    <w:rsid w:val="77E476F7"/>
    <w:rsid w:val="78180F6A"/>
    <w:rsid w:val="79F503F9"/>
    <w:rsid w:val="7B8C2698"/>
    <w:rsid w:val="7BF22E42"/>
    <w:rsid w:val="7D902913"/>
    <w:rsid w:val="7E174E74"/>
    <w:rsid w:val="7E1F3C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页眉 字符"/>
    <w:basedOn w:val="133"/>
    <w:link w:val="25"/>
    <w:qFormat/>
    <w:uiPriority w:val="99"/>
  </w:style>
  <w:style w:type="character" w:customStyle="1" w:styleId="137">
    <w:name w:val="页脚 字符"/>
    <w:basedOn w:val="133"/>
    <w:link w:val="24"/>
    <w:qFormat/>
    <w:uiPriority w:val="99"/>
  </w:style>
  <w:style w:type="paragraph" w:styleId="138">
    <w:name w:val="No Spacing"/>
    <w:qFormat/>
    <w:uiPriority w:val="1"/>
    <w:rPr>
      <w:rFonts w:asciiTheme="minorHAnsi" w:hAnsiTheme="minorHAnsi" w:eastAsiaTheme="minorEastAsia" w:cstheme="minorBidi"/>
      <w:sz w:val="22"/>
      <w:szCs w:val="22"/>
      <w:lang w:val="en-US" w:eastAsia="en-US" w:bidi="ar-SA"/>
    </w:rPr>
  </w:style>
  <w:style w:type="character" w:customStyle="1" w:styleId="139">
    <w:name w:val="标题 1 字符"/>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标题 2 字符"/>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标题 3 字符"/>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标题 字符"/>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副标题 字符"/>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正文文本 字符"/>
    <w:basedOn w:val="133"/>
    <w:link w:val="19"/>
    <w:qFormat/>
    <w:uiPriority w:val="99"/>
  </w:style>
  <w:style w:type="character" w:customStyle="1" w:styleId="146">
    <w:name w:val="正文文本 2 字符"/>
    <w:basedOn w:val="133"/>
    <w:link w:val="28"/>
    <w:qFormat/>
    <w:uiPriority w:val="99"/>
  </w:style>
  <w:style w:type="character" w:customStyle="1" w:styleId="147">
    <w:name w:val="正文文本 3 字符"/>
    <w:basedOn w:val="133"/>
    <w:link w:val="17"/>
    <w:qFormat/>
    <w:uiPriority w:val="99"/>
    <w:rPr>
      <w:sz w:val="16"/>
      <w:szCs w:val="16"/>
    </w:rPr>
  </w:style>
  <w:style w:type="character" w:customStyle="1" w:styleId="148">
    <w:name w:val="宏文本 字符"/>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引用 字符"/>
    <w:basedOn w:val="133"/>
    <w:link w:val="149"/>
    <w:qFormat/>
    <w:uiPriority w:val="29"/>
    <w:rPr>
      <w:i/>
      <w:iCs/>
      <w:color w:val="000000" w:themeColor="text1"/>
      <w14:textFill>
        <w14:solidFill>
          <w14:schemeClr w14:val="tx1"/>
        </w14:solidFill>
      </w14:textFill>
    </w:rPr>
  </w:style>
  <w:style w:type="character" w:customStyle="1" w:styleId="151">
    <w:name w:val="标题 4 字符"/>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标题 5 字符"/>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标题 6 字符"/>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标题 7 字符"/>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标题 8 字符"/>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标题 9 字符"/>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明显引用 字符"/>
    <w:basedOn w:val="133"/>
    <w:link w:val="157"/>
    <w:qFormat/>
    <w:uiPriority w:val="30"/>
    <w:rPr>
      <w:b/>
      <w:bCs/>
      <w:i/>
      <w:iCs/>
      <w:color w:val="4F81BD" w:themeColor="accent1"/>
      <w14:textFill>
        <w14:solidFill>
          <w14:schemeClr w14:val="accent1"/>
        </w14:solidFill>
      </w14:textFill>
    </w:rPr>
  </w:style>
  <w:style w:type="character" w:customStyle="1" w:styleId="159">
    <w:name w:val="不明显强调1"/>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明显强调1"/>
    <w:basedOn w:val="133"/>
    <w:qFormat/>
    <w:uiPriority w:val="21"/>
    <w:rPr>
      <w:b/>
      <w:bCs/>
      <w:i/>
      <w:iCs/>
      <w:color w:val="4F81BD" w:themeColor="accent1"/>
      <w14:textFill>
        <w14:solidFill>
          <w14:schemeClr w14:val="accent1"/>
        </w14:solidFill>
      </w14:textFill>
    </w:rPr>
  </w:style>
  <w:style w:type="character" w:customStyle="1" w:styleId="161">
    <w:name w:val="不明显参考1"/>
    <w:basedOn w:val="133"/>
    <w:qFormat/>
    <w:uiPriority w:val="31"/>
    <w:rPr>
      <w:smallCaps/>
      <w:color w:val="C0504D" w:themeColor="accent2"/>
      <w:u w:val="single"/>
      <w14:textFill>
        <w14:solidFill>
          <w14:schemeClr w14:val="accent2"/>
        </w14:solidFill>
      </w14:textFill>
    </w:rPr>
  </w:style>
  <w:style w:type="character" w:customStyle="1" w:styleId="162">
    <w:name w:val="明显参考1"/>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书籍标题1"/>
    <w:basedOn w:val="133"/>
    <w:qFormat/>
    <w:uiPriority w:val="33"/>
    <w:rPr>
      <w:b/>
      <w:bCs/>
      <w:smallCaps/>
      <w:spacing w:val="5"/>
    </w:rPr>
  </w:style>
  <w:style w:type="paragraph" w:customStyle="1" w:styleId="164">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2037</Words>
  <Characters>11268</Characters>
  <Lines>26</Lines>
  <Paragraphs>7</Paragraphs>
  <TotalTime>1</TotalTime>
  <ScaleCrop>false</ScaleCrop>
  <LinksUpToDate>false</LinksUpToDate>
  <CharactersWithSpaces>13227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2026-05-28T09:03:00Z</dcterms:created>
  <dc:creator>python-docx</dc:creator>
  <dc:description>generated by python-docx</dc:description>
  <cp:lastModifiedBy>Wanda</cp:lastModifiedBy>
  <cp:lastPrinted>2026-07-17T06:36:01Z</cp:lastPrinted>
  <dcterms:modified xsi:type="dcterms:W3CDTF">2026-07-17T06:36:19Z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eyJoZGlkIjoiNGFiZjg1NDhlZTZiZjNhNDIyNzQzN2U0YzNmZDg5MTgiLCJ1c2VySWQiOiI0ODY4MjgzMjAifQ==</vt:lpwstr>
  </property>
  <property fmtid="{D5CDD505-2E9C-101B-9397-08002B2CF9AE}" pid="3" name="KSOProductBuildVer">
    <vt:lpwstr>2052-12.1.0.26375</vt:lpwstr>
  </property>
  <property fmtid="{D5CDD505-2E9C-101B-9397-08002B2CF9AE}" pid="4" name="ICV">
    <vt:lpwstr>F9440465135645B28C072D3D01F1B04E_13</vt:lpwstr>
  </property>
</Properties>
</file>