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6"/>
        <w:ind w:left="720" w:hanging="720" w:hangingChars="200"/>
        <w:jc w:val="center"/>
        <w:rPr>
          <w:rFonts w:hint="eastAsia"/>
          <w:sz w:val="36"/>
          <w:szCs w:val="36"/>
        </w:rPr>
      </w:pPr>
    </w:p>
    <w:p>
      <w:pPr>
        <w:pStyle w:val="3"/>
        <w:spacing w:before="16"/>
        <w:ind w:left="720" w:hanging="720" w:hangingChars="200"/>
        <w:jc w:val="center"/>
        <w:rPr>
          <w:b/>
          <w:sz w:val="24"/>
        </w:rPr>
      </w:pPr>
      <w:r>
        <w:rPr>
          <w:rFonts w:hint="eastAsia"/>
          <w:sz w:val="36"/>
          <w:szCs w:val="36"/>
        </w:rPr>
        <w:t xml:space="preserve">SHDC-9910 HDMI 2.1 A-D Active Optical Cable  </w:t>
      </w: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spacing w:val="9"/>
          <w:position w:val="3"/>
        </w:rPr>
      </w:pPr>
      <w:r>
        <w:rPr>
          <w:b/>
          <w:sz w:val="24"/>
        </w:rPr>
        <w:t>Product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Features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9"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Hybrid optical cable with fiber and copper wire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 w:eastAsia="宋体"/>
          <w:sz w:val="20"/>
          <w:lang w:val="en-US" w:eastAsia="zh-CN"/>
        </w:rPr>
        <w:t>A</w:t>
      </w:r>
      <w:r>
        <w:rPr>
          <w:rFonts w:hint="eastAsia"/>
          <w:sz w:val="20"/>
        </w:rPr>
        <w:t xml:space="preserve">ccord with HDMI 2 . </w:t>
      </w:r>
      <w:r>
        <w:rPr>
          <w:rFonts w:hint="eastAsia" w:eastAsia="宋体"/>
          <w:sz w:val="20"/>
          <w:lang w:val="en-US" w:eastAsia="zh-CN"/>
        </w:rPr>
        <w:t>1</w:t>
      </w:r>
      <w:r>
        <w:rPr>
          <w:rFonts w:hint="eastAsia"/>
          <w:sz w:val="20"/>
        </w:rPr>
        <w:t xml:space="preserve"> standard , backward compatible with </w:t>
      </w:r>
      <w:r>
        <w:rPr>
          <w:rFonts w:hint="eastAsia" w:eastAsia="宋体"/>
          <w:sz w:val="20"/>
          <w:lang w:val="en-US" w:eastAsia="zh-CN"/>
        </w:rPr>
        <w:t>HDMI2.0/</w:t>
      </w:r>
      <w:r>
        <w:rPr>
          <w:rFonts w:hint="eastAsia"/>
          <w:sz w:val="20"/>
        </w:rPr>
        <w:t>HDMI1 .4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Supports computer resolutions to 1080P and 4K2K(60P)</w:t>
      </w:r>
      <w:r>
        <w:rPr>
          <w:rFonts w:hint="eastAsia" w:eastAsia="宋体"/>
          <w:sz w:val="20"/>
          <w:lang w:val="en-US" w:eastAsia="zh-CN"/>
        </w:rPr>
        <w:t xml:space="preserve"> </w:t>
      </w:r>
      <w:r>
        <w:rPr>
          <w:rFonts w:hint="eastAsia"/>
          <w:sz w:val="20"/>
        </w:rPr>
        <w:t>and 8Kp50/60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HDCP2 .2</w:t>
      </w:r>
      <w:r>
        <w:rPr>
          <w:rFonts w:hint="eastAsia" w:eastAsia="宋体"/>
          <w:sz w:val="20"/>
          <w:lang w:val="en-US" w:eastAsia="zh-CN"/>
        </w:rPr>
        <w:t>/1.4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 HDR) Dynamic HDR formats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</w:t>
      </w:r>
      <w:r>
        <w:rPr>
          <w:rFonts w:hint="eastAsia" w:eastAsia="宋体"/>
          <w:sz w:val="20"/>
          <w:lang w:val="en-US" w:eastAsia="zh-CN"/>
        </w:rPr>
        <w:t xml:space="preserve"> s</w:t>
      </w:r>
      <w:r>
        <w:rPr>
          <w:rFonts w:hint="eastAsia"/>
          <w:sz w:val="20"/>
        </w:rPr>
        <w:t>elf-detecting function for EDID information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(VRR) Variable refresh rate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(QMS) Quick media switching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(QFT) Quick frame transport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(ALLM) Auto low latency Mode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(DSC) Display Stream Compression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eARC(Enhanced audio return channel)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No loss of signal – delivering crystal clear digital images instantly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b/>
          <w:sz w:val="24"/>
        </w:rPr>
      </w:pPr>
      <w:r>
        <w:rPr>
          <w:rFonts w:hint="eastAsia"/>
          <w:sz w:val="20"/>
        </w:rPr>
        <w:t>Plug and Play , no external power required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 xml:space="preserve">Up to </w:t>
      </w:r>
      <w:r>
        <w:rPr>
          <w:rFonts w:hint="eastAsia" w:eastAsia="宋体"/>
          <w:lang w:val="en-US" w:eastAsia="zh-CN"/>
        </w:rPr>
        <w:t>10</w:t>
      </w:r>
      <w:r>
        <w:rPr>
          <w:rFonts w:hint="eastAsia"/>
        </w:rPr>
        <w:t>0m Maximum Length.(Custom Length Available)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OD</w:t>
      </w:r>
      <w:r>
        <w:rPr>
          <w:rFonts w:hint="eastAsia" w:eastAsia="宋体"/>
          <w:lang w:val="en-US" w:eastAsia="zh-CN"/>
        </w:rPr>
        <w:t>4.5</w:t>
      </w:r>
      <w:r>
        <w:rPr>
          <w:rFonts w:hint="eastAsia"/>
        </w:rPr>
        <w:t>mmsuper slim stainless steel construction</w:t>
      </w:r>
    </w:p>
    <w:p>
      <w:pPr>
        <w:pStyle w:val="10"/>
        <w:numPr>
          <w:ilvl w:val="0"/>
          <w:numId w:val="0"/>
        </w:numPr>
        <w:bidi w:val="0"/>
      </w:pPr>
    </w:p>
    <w:p>
      <w:pPr>
        <w:bidi w:val="0"/>
        <w:ind w:firstLine="720" w:firstLineChars="300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Applications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Digital Signage</w:t>
      </w:r>
      <w:r>
        <w:rPr>
          <w:rFonts w:hint="eastAsia" w:eastAsia="宋体"/>
          <w:lang w:val="en-US" w:eastAsia="zh-CN"/>
        </w:rPr>
        <w:t>,LED signboards in streets and in stadiums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Medical Imaging Equipment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Airplane On-board Video System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Home Theater</w:t>
      </w:r>
      <w:r>
        <w:rPr>
          <w:rFonts w:hint="eastAsia" w:eastAsia="宋体"/>
          <w:lang w:val="en-US" w:eastAsia="zh-CN"/>
        </w:rPr>
        <w:t>,conference Room Video Equipment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Blue-ray, 3D video, Projector, Set-up box, DVR, Game Consoles and Computer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TV Broadcast Station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Conference Room Video Equipment</w:t>
      </w:r>
    </w:p>
    <w:p>
      <w:pPr>
        <w:pStyle w:val="10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Security systems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b/>
          <w:sz w:val="24"/>
        </w:rPr>
      </w:pPr>
      <w:r>
        <w:rPr>
          <w:b/>
          <w:sz w:val="24"/>
        </w:rPr>
        <w:t>Operating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Condition</w:t>
      </w:r>
    </w:p>
    <w:tbl>
      <w:tblPr>
        <w:tblStyle w:val="9"/>
        <w:tblW w:w="0" w:type="auto"/>
        <w:tblInd w:w="682" w:type="dxa"/>
        <w:tblBorders>
          <w:top w:val="single" w:color="889BA8" w:sz="4" w:space="0"/>
          <w:left w:val="single" w:color="889BA8" w:sz="4" w:space="0"/>
          <w:bottom w:val="single" w:color="889BA8" w:sz="4" w:space="0"/>
          <w:right w:val="single" w:color="889BA8" w:sz="4" w:space="0"/>
          <w:insideH w:val="single" w:color="889BA8" w:sz="4" w:space="0"/>
          <w:insideV w:val="single" w:color="889BA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0"/>
        <w:gridCol w:w="849"/>
        <w:gridCol w:w="1134"/>
        <w:gridCol w:w="1134"/>
        <w:gridCol w:w="1132"/>
      </w:tblGrid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690" w:type="dxa"/>
            <w:shd w:val="clear" w:color="auto" w:fill="D9D9D9"/>
          </w:tcPr>
          <w:p>
            <w:pPr>
              <w:pStyle w:val="11"/>
              <w:spacing w:before="92"/>
              <w:ind w:left="1345" w:right="13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Parameter</w:t>
            </w:r>
          </w:p>
        </w:tc>
        <w:tc>
          <w:tcPr>
            <w:tcW w:w="849" w:type="dxa"/>
            <w:shd w:val="clear" w:color="auto" w:fill="D9D9D9"/>
          </w:tcPr>
          <w:p>
            <w:pPr>
              <w:pStyle w:val="11"/>
              <w:spacing w:before="92"/>
              <w:ind w:left="171" w:right="16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11"/>
              <w:spacing w:before="92"/>
              <w:ind w:left="209" w:right="1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Min.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11"/>
              <w:spacing w:before="92"/>
              <w:ind w:left="209" w:right="19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Typical</w:t>
            </w:r>
          </w:p>
        </w:tc>
        <w:tc>
          <w:tcPr>
            <w:tcW w:w="1132" w:type="dxa"/>
            <w:shd w:val="clear" w:color="auto" w:fill="D9D9D9"/>
          </w:tcPr>
          <w:p>
            <w:pPr>
              <w:pStyle w:val="11"/>
              <w:spacing w:before="92"/>
              <w:ind w:left="330" w:right="3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Max.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690" w:type="dxa"/>
          </w:tcPr>
          <w:p>
            <w:pPr>
              <w:pStyle w:val="11"/>
              <w:spacing w:before="42"/>
              <w:ind w:left="108"/>
              <w:rPr>
                <w:sz w:val="20"/>
              </w:rPr>
            </w:pPr>
            <w:r>
              <w:rPr>
                <w:sz w:val="20"/>
              </w:rPr>
              <w:t>Storage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Temperature</w:t>
            </w:r>
          </w:p>
        </w:tc>
        <w:tc>
          <w:tcPr>
            <w:tcW w:w="849" w:type="dxa"/>
          </w:tcPr>
          <w:p>
            <w:pPr>
              <w:pStyle w:val="11"/>
              <w:spacing w:before="42"/>
              <w:ind w:left="171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°C</w:t>
            </w:r>
          </w:p>
        </w:tc>
        <w:tc>
          <w:tcPr>
            <w:tcW w:w="1134" w:type="dxa"/>
          </w:tcPr>
          <w:p>
            <w:pPr>
              <w:pStyle w:val="11"/>
              <w:spacing w:before="42"/>
              <w:ind w:left="207" w:right="1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11"/>
              <w:spacing w:before="42"/>
              <w:ind w:left="205" w:right="19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2" w:type="dxa"/>
          </w:tcPr>
          <w:p>
            <w:pPr>
              <w:pStyle w:val="11"/>
              <w:spacing w:before="42"/>
              <w:ind w:left="330" w:right="3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90" w:type="dxa"/>
          </w:tcPr>
          <w:p>
            <w:pPr>
              <w:pStyle w:val="11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Operating Temperature</w:t>
            </w:r>
          </w:p>
        </w:tc>
        <w:tc>
          <w:tcPr>
            <w:tcW w:w="849" w:type="dxa"/>
          </w:tcPr>
          <w:p>
            <w:pPr>
              <w:pStyle w:val="11"/>
              <w:ind w:left="171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°C</w:t>
            </w:r>
          </w:p>
        </w:tc>
        <w:tc>
          <w:tcPr>
            <w:tcW w:w="1134" w:type="dxa"/>
          </w:tcPr>
          <w:p>
            <w:pPr>
              <w:pStyle w:val="11"/>
              <w:ind w:left="207" w:right="1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11"/>
              <w:ind w:left="330" w:right="3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690" w:type="dxa"/>
          </w:tcPr>
          <w:p>
            <w:pPr>
              <w:pStyle w:val="11"/>
              <w:ind w:left="10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Voltage</w:t>
            </w:r>
          </w:p>
        </w:tc>
        <w:tc>
          <w:tcPr>
            <w:tcW w:w="849" w:type="dxa"/>
          </w:tcPr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1134" w:type="dxa"/>
          </w:tcPr>
          <w:p>
            <w:pPr>
              <w:pStyle w:val="11"/>
              <w:ind w:left="205" w:right="199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rFonts w:hint="eastAsia" w:eastAsia="宋体"/>
                <w:spacing w:val="-5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</w:tcPr>
          <w:p>
            <w:pPr>
              <w:pStyle w:val="1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2" w:type="dxa"/>
          </w:tcPr>
          <w:p>
            <w:pPr>
              <w:pStyle w:val="11"/>
              <w:ind w:left="330" w:right="32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rFonts w:hint="eastAsia" w:eastAsia="宋体"/>
                <w:spacing w:val="-5"/>
                <w:sz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90" w:type="dxa"/>
          </w:tcPr>
          <w:p>
            <w:pPr>
              <w:pStyle w:val="11"/>
              <w:spacing w:before="40"/>
              <w:ind w:left="10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Consumption</w:t>
            </w:r>
          </w:p>
        </w:tc>
        <w:tc>
          <w:tcPr>
            <w:tcW w:w="849" w:type="dxa"/>
          </w:tcPr>
          <w:p>
            <w:pPr>
              <w:pStyle w:val="11"/>
              <w:spacing w:before="40"/>
              <w:ind w:left="9"/>
              <w:jc w:val="center"/>
              <w:rPr>
                <w:sz w:val="20"/>
              </w:rPr>
            </w:pPr>
            <w:r>
              <w:rPr>
                <w:rFonts w:hint="eastAsia" w:eastAsia="宋体"/>
                <w:w w:val="99"/>
                <w:sz w:val="20"/>
                <w:lang w:val="en-US" w:eastAsia="zh-CN"/>
              </w:rPr>
              <w:t>m</w:t>
            </w:r>
            <w:r>
              <w:rPr>
                <w:w w:val="99"/>
                <w:sz w:val="20"/>
              </w:rPr>
              <w:t>W</w:t>
            </w:r>
          </w:p>
        </w:tc>
        <w:tc>
          <w:tcPr>
            <w:tcW w:w="1134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40"/>
              <w:ind w:left="207" w:right="199"/>
              <w:jc w:val="center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11"/>
              <w:spacing w:before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690" w:type="dxa"/>
          </w:tcPr>
          <w:p>
            <w:pPr>
              <w:pStyle w:val="11"/>
              <w:spacing w:before="42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Bandwidth</w:t>
            </w:r>
          </w:p>
        </w:tc>
        <w:tc>
          <w:tcPr>
            <w:tcW w:w="849" w:type="dxa"/>
          </w:tcPr>
          <w:p>
            <w:pPr>
              <w:pStyle w:val="11"/>
              <w:spacing w:before="42"/>
              <w:ind w:left="171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Gbps</w:t>
            </w:r>
          </w:p>
        </w:tc>
        <w:tc>
          <w:tcPr>
            <w:tcW w:w="1134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42"/>
              <w:ind w:left="6"/>
              <w:jc w:val="center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11"/>
              <w:spacing w:before="42"/>
              <w:ind w:left="330" w:right="32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-5"/>
                <w:sz w:val="20"/>
                <w:lang w:val="en-US" w:eastAsia="zh-CN"/>
              </w:rPr>
              <w:t>48</w:t>
            </w:r>
          </w:p>
        </w:tc>
      </w:tr>
    </w:tbl>
    <w:p>
      <w:pPr>
        <w:spacing w:before="93"/>
        <w:rPr>
          <w:b/>
          <w:sz w:val="24"/>
        </w:rPr>
      </w:pPr>
    </w:p>
    <w:p>
      <w:pPr>
        <w:spacing w:before="93"/>
        <w:ind w:firstLine="480" w:firstLineChars="200"/>
        <w:rPr>
          <w:b/>
          <w:spacing w:val="-2"/>
          <w:sz w:val="24"/>
        </w:rPr>
      </w:pPr>
      <w:r>
        <w:rPr>
          <w:b/>
          <w:sz w:val="24"/>
        </w:rPr>
        <w:t>Typical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Interface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Circuit</w:t>
      </w:r>
    </w:p>
    <w:p>
      <w:pPr>
        <w:spacing w:before="93"/>
        <w:ind w:firstLine="220" w:firstLineChars="100"/>
      </w:pPr>
      <w:r>
        <w:rPr>
          <w:rFonts w:hint="eastAsia" w:eastAsia="宋体"/>
          <w:lang w:val="en-US" w:eastAsia="zh-CN"/>
        </w:rPr>
        <w:t xml:space="preserve"> </w:t>
      </w:r>
      <w:r>
        <w:drawing>
          <wp:inline distT="0" distB="0" distL="114300" distR="114300">
            <wp:extent cx="5590540" cy="3504565"/>
            <wp:effectExtent l="0" t="0" r="10160" b="6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0540" cy="35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315"/>
        </w:tabs>
        <w:spacing w:before="154"/>
        <w:ind w:firstLine="460" w:firstLineChars="200"/>
        <w:rPr>
          <w:b/>
          <w:spacing w:val="-5"/>
          <w:sz w:val="24"/>
        </w:rPr>
      </w:pPr>
    </w:p>
    <w:p>
      <w:pPr>
        <w:tabs>
          <w:tab w:val="left" w:pos="1315"/>
        </w:tabs>
        <w:spacing w:before="154"/>
        <w:ind w:firstLine="460" w:firstLineChars="200"/>
        <w:rPr>
          <w:b/>
          <w:spacing w:val="-5"/>
          <w:sz w:val="24"/>
        </w:rPr>
      </w:pPr>
    </w:p>
    <w:p>
      <w:pPr>
        <w:tabs>
          <w:tab w:val="left" w:pos="1315"/>
        </w:tabs>
        <w:spacing w:before="154"/>
        <w:ind w:firstLine="460" w:firstLineChars="200"/>
        <w:rPr>
          <w:b/>
        </w:rPr>
      </w:pPr>
      <w:r>
        <w:rPr>
          <w:b/>
          <w:spacing w:val="-5"/>
          <w:sz w:val="24"/>
        </w:rPr>
        <w:t>PIN</w:t>
      </w:r>
      <w:r>
        <w:rPr>
          <w:rFonts w:hint="eastAsia" w:eastAsia="宋体"/>
          <w:b/>
          <w:spacing w:val="-5"/>
          <w:sz w:val="24"/>
          <w:lang w:val="en-US" w:eastAsia="zh-CN"/>
        </w:rPr>
        <w:t xml:space="preserve"> </w:t>
      </w:r>
      <w:r>
        <w:rPr>
          <w:b/>
          <w:spacing w:val="-2"/>
          <w:sz w:val="24"/>
        </w:rPr>
        <w:t>Definition</w:t>
      </w:r>
    </w:p>
    <w:p>
      <w:pPr>
        <w:spacing w:before="93"/>
      </w:pPr>
    </w:p>
    <w:p>
      <w:pPr>
        <w:spacing w:before="93"/>
        <w:ind w:firstLine="220" w:firstLineChars="100"/>
      </w:pPr>
      <w:r>
        <w:drawing>
          <wp:inline distT="0" distB="0" distL="114300" distR="114300">
            <wp:extent cx="5972175" cy="15240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93"/>
        <w:ind w:firstLine="220" w:firstLineChars="100"/>
      </w:pPr>
    </w:p>
    <w:p>
      <w:pPr>
        <w:spacing w:before="92"/>
        <w:ind w:left="677"/>
        <w:rPr>
          <w:b/>
          <w:sz w:val="24"/>
        </w:rPr>
      </w:pPr>
      <w:r>
        <w:rPr>
          <w:rFonts w:hint="eastAsia"/>
          <w:b/>
          <w:spacing w:val="-2"/>
          <w:sz w:val="24"/>
        </w:rPr>
        <w:t>Finished product drawings</w:t>
      </w:r>
    </w:p>
    <w:p>
      <w:pPr>
        <w:spacing w:before="93"/>
      </w:pPr>
    </w:p>
    <w:p>
      <w:pPr>
        <w:spacing w:before="93"/>
      </w:pPr>
      <w:r>
        <w:drawing>
          <wp:inline distT="0" distB="0" distL="114300" distR="114300">
            <wp:extent cx="6396990" cy="3120390"/>
            <wp:effectExtent l="0" t="0" r="3810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699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before="93"/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Version number</w:t>
      </w:r>
    </w:p>
    <w:p>
      <w:pPr>
        <w:spacing w:before="93"/>
      </w:pPr>
    </w:p>
    <w:tbl>
      <w:tblPr>
        <w:tblStyle w:val="9"/>
        <w:tblW w:w="0" w:type="auto"/>
        <w:tblInd w:w="682" w:type="dxa"/>
        <w:tblBorders>
          <w:top w:val="single" w:color="889BA8" w:sz="4" w:space="0"/>
          <w:left w:val="single" w:color="889BA8" w:sz="4" w:space="0"/>
          <w:bottom w:val="single" w:color="889BA8" w:sz="4" w:space="0"/>
          <w:right w:val="single" w:color="889BA8" w:sz="4" w:space="0"/>
          <w:insideH w:val="single" w:color="889BA8" w:sz="4" w:space="0"/>
          <w:insideV w:val="single" w:color="889BA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618"/>
        <w:gridCol w:w="5892"/>
      </w:tblGrid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16" w:type="dxa"/>
            <w:shd w:val="clear" w:color="auto" w:fill="D9D9D9"/>
          </w:tcPr>
          <w:p>
            <w:pPr>
              <w:pStyle w:val="11"/>
              <w:spacing w:before="40"/>
              <w:ind w:left="228" w:right="2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Version</w:t>
            </w:r>
          </w:p>
        </w:tc>
        <w:tc>
          <w:tcPr>
            <w:tcW w:w="1618" w:type="dxa"/>
            <w:shd w:val="clear" w:color="auto" w:fill="D9D9D9"/>
          </w:tcPr>
          <w:p>
            <w:pPr>
              <w:pStyle w:val="11"/>
              <w:spacing w:before="40"/>
              <w:ind w:left="304" w:right="29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5892" w:type="dxa"/>
            <w:shd w:val="clear" w:color="auto" w:fill="D9D9D9"/>
          </w:tcPr>
          <w:p>
            <w:pPr>
              <w:pStyle w:val="11"/>
              <w:spacing w:before="40"/>
              <w:ind w:left="2388" w:right="23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16" w:type="dxa"/>
          </w:tcPr>
          <w:p>
            <w:pPr>
              <w:pStyle w:val="11"/>
              <w:spacing w:before="88"/>
              <w:ind w:left="227" w:right="2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V001</w:t>
            </w:r>
          </w:p>
        </w:tc>
        <w:tc>
          <w:tcPr>
            <w:tcW w:w="1618" w:type="dxa"/>
          </w:tcPr>
          <w:p>
            <w:pPr>
              <w:pStyle w:val="11"/>
              <w:spacing w:before="88"/>
              <w:ind w:left="309" w:right="2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w w:val="95"/>
                <w:sz w:val="20"/>
              </w:rPr>
              <w:t>202</w:t>
            </w:r>
            <w:r>
              <w:rPr>
                <w:rFonts w:hint="eastAsia" w:eastAsia="宋体"/>
                <w:w w:val="95"/>
                <w:sz w:val="20"/>
                <w:lang w:eastAsia="zh-CN"/>
              </w:rPr>
              <w:t>4</w:t>
            </w:r>
            <w:r>
              <w:rPr>
                <w:w w:val="95"/>
                <w:sz w:val="20"/>
              </w:rPr>
              <w:t>-0</w:t>
            </w:r>
            <w:r>
              <w:rPr>
                <w:rFonts w:hint="eastAsia" w:eastAsia="宋体"/>
                <w:w w:val="95"/>
                <w:sz w:val="20"/>
                <w:lang w:eastAsia="zh-CN"/>
              </w:rPr>
              <w:t>5</w:t>
            </w:r>
            <w:r>
              <w:rPr>
                <w:w w:val="95"/>
                <w:sz w:val="20"/>
              </w:rPr>
              <w:t>-</w:t>
            </w:r>
            <w:r>
              <w:rPr>
                <w:rFonts w:hint="eastAsia" w:eastAsia="宋体"/>
                <w:w w:val="95"/>
                <w:sz w:val="20"/>
                <w:lang w:eastAsia="zh-CN"/>
              </w:rPr>
              <w:t>2</w:t>
            </w:r>
            <w:r>
              <w:rPr>
                <w:rFonts w:hint="eastAsia" w:eastAsia="宋体"/>
                <w:w w:val="95"/>
                <w:sz w:val="20"/>
                <w:lang w:val="en-US" w:eastAsia="zh-CN"/>
              </w:rPr>
              <w:t>8</w:t>
            </w:r>
          </w:p>
        </w:tc>
        <w:tc>
          <w:tcPr>
            <w:tcW w:w="5892" w:type="dxa"/>
          </w:tcPr>
          <w:p>
            <w:pPr>
              <w:pStyle w:val="11"/>
              <w:spacing w:before="88"/>
              <w:ind w:left="108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release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16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92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16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92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tabs>
          <w:tab w:val="left" w:pos="841"/>
        </w:tabs>
        <w:bidi w:val="0"/>
        <w:jc w:val="left"/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940" w:right="700" w:bottom="1640" w:left="1120" w:header="885" w:footer="144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</w:pPr>
    <w:r>
      <w:pict>
        <v:shape id="docshape3" o:spid="_x0000_s4099" o:spt="202" type="#_x0000_t202" style="position:absolute;left:0pt;margin-left:88.9pt;margin-top:758.8pt;height:13.7pt;width:166.3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/>
                  <w:rPr>
                    <w:rFonts w:hint="default" w:eastAsia="宋体"/>
                    <w:sz w:val="21"/>
                    <w:lang w:val="en-US" w:eastAsia="zh-CN"/>
                  </w:rPr>
                </w:pPr>
                <w:r>
                  <w:rPr>
                    <w:sz w:val="21"/>
                  </w:rPr>
                  <w:t>Datasheet</w:t>
                </w:r>
                <w:r>
                  <w:rPr>
                    <w:spacing w:val="-6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202</w:t>
                </w:r>
                <w:r>
                  <w:rPr>
                    <w:rFonts w:hint="eastAsia" w:eastAsia="宋体"/>
                    <w:sz w:val="21"/>
                    <w:lang w:val="en-US" w:eastAsia="zh-CN"/>
                  </w:rPr>
                  <w:t>4</w:t>
                </w:r>
                <w:r>
                  <w:rPr>
                    <w:sz w:val="21"/>
                  </w:rPr>
                  <w:t>-0</w:t>
                </w:r>
                <w:r>
                  <w:rPr>
                    <w:rFonts w:hint="eastAsia" w:eastAsia="宋体"/>
                    <w:sz w:val="21"/>
                    <w:lang w:val="en-US" w:eastAsia="zh-CN"/>
                  </w:rPr>
                  <w:t>5</w:t>
                </w:r>
                <w:r>
                  <w:rPr>
                    <w:spacing w:val="-4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version:V</w:t>
                </w:r>
                <w:r>
                  <w:rPr>
                    <w:rFonts w:hint="eastAsia" w:eastAsia="宋体"/>
                    <w:sz w:val="21"/>
                    <w:lang w:val="en-US" w:eastAsia="zh-CN"/>
                  </w:rPr>
                  <w:t>001</w:t>
                </w:r>
              </w:p>
            </w:txbxContent>
          </v:textbox>
        </v:shape>
      </w:pict>
    </w:r>
    <w:r>
      <w:pict>
        <v:shape id="docshape4" o:spid="_x0000_s4100" o:spt="202" type="#_x0000_t202" style="position:absolute;left:0pt;margin-left:289.5pt;margin-top:781.2pt;height:12.1pt;width:49.6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4"/>
                  <w:ind w:left="20"/>
                  <w:rPr>
                    <w:sz w:val="1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</w:pPr>
    <w:r>
      <w:pict>
        <v:shape id="docshape2" o:spid="_x0000_s4097" o:spt="202" type="#_x0000_t202" style="position:absolute;left:0pt;margin-left:173.7pt;margin-top:71.7pt;height:23.95pt;width:287.9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479" w:lineRule="exact"/>
                  <w:ind w:left="20"/>
                  <w:rPr>
                    <w:rFonts w:ascii="宋体" w:eastAsia="宋体"/>
                    <w:sz w:val="44"/>
                    <w:lang w:eastAsia="zh-CN"/>
                  </w:rPr>
                </w:pPr>
                <w:r>
                  <w:rPr>
                    <w:rFonts w:ascii="宋体" w:eastAsia="宋体"/>
                    <w:w w:val="95"/>
                    <w:sz w:val="44"/>
                    <w:lang w:eastAsia="zh-CN"/>
                  </w:rPr>
                  <w:t>深圳利诺威科技有限公</w:t>
                </w:r>
                <w:r>
                  <w:rPr>
                    <w:rFonts w:ascii="宋体" w:eastAsia="宋体"/>
                    <w:spacing w:val="-10"/>
                    <w:w w:val="95"/>
                    <w:sz w:val="44"/>
                    <w:lang w:eastAsia="zh-CN"/>
                  </w:rPr>
                  <w:t>司</w:t>
                </w:r>
              </w:p>
            </w:txbxContent>
          </v:textbox>
        </v:shape>
      </w:pict>
    </w:r>
    <w:r>
      <w:rPr>
        <w:lang w:eastAsia="zh-CN"/>
      </w:rPr>
      <w:drawing>
        <wp:inline distT="0" distB="0" distL="0" distR="0">
          <wp:extent cx="697865" cy="722630"/>
          <wp:effectExtent l="0" t="0" r="6985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865" cy="878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rect id="docshape1" o:spid="_x0000_s4098" o:spt="1" style="position:absolute;left:0pt;margin-left:54.45pt;margin-top:96.9pt;height:0.7pt;width:484.15pt;mso-position-horizontal-relative:page;mso-position-vertical-relative:page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42592"/>
    <w:multiLevelType w:val="multilevel"/>
    <w:tmpl w:val="45742592"/>
    <w:lvl w:ilvl="0" w:tentative="0">
      <w:start w:val="0"/>
      <w:numFmt w:val="bullet"/>
      <w:lvlText w:val=""/>
      <w:lvlJc w:val="left"/>
      <w:pPr>
        <w:ind w:left="1517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376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233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089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946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803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59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16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72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ZlZWY3YmY3ZTZkODRiNjNiYWZhY2Q1NTc4N2FhOWMifQ=="/>
  </w:docVars>
  <w:rsids>
    <w:rsidRoot w:val="00BA647B"/>
    <w:rsid w:val="0002642D"/>
    <w:rsid w:val="002C224A"/>
    <w:rsid w:val="00885AF6"/>
    <w:rsid w:val="009006CC"/>
    <w:rsid w:val="00B17AB8"/>
    <w:rsid w:val="00BA647B"/>
    <w:rsid w:val="03792680"/>
    <w:rsid w:val="04EE7398"/>
    <w:rsid w:val="05856AD5"/>
    <w:rsid w:val="07482790"/>
    <w:rsid w:val="0F532FCA"/>
    <w:rsid w:val="107C75B6"/>
    <w:rsid w:val="11A349B0"/>
    <w:rsid w:val="188632CA"/>
    <w:rsid w:val="1D2E2402"/>
    <w:rsid w:val="1E56142E"/>
    <w:rsid w:val="24AA4730"/>
    <w:rsid w:val="2AAC1C6E"/>
    <w:rsid w:val="2FD80671"/>
    <w:rsid w:val="3A734622"/>
    <w:rsid w:val="453A7DD3"/>
    <w:rsid w:val="58FD1B81"/>
    <w:rsid w:val="5C3040BC"/>
    <w:rsid w:val="5CB772AE"/>
    <w:rsid w:val="5D794F9B"/>
    <w:rsid w:val="60443454"/>
    <w:rsid w:val="65863A08"/>
    <w:rsid w:val="68340B83"/>
    <w:rsid w:val="71C30B5B"/>
    <w:rsid w:val="71C31235"/>
    <w:rsid w:val="76B7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"/>
    <w:pPr>
      <w:spacing w:line="479" w:lineRule="exact"/>
      <w:ind w:left="20"/>
    </w:pPr>
    <w:rPr>
      <w:rFonts w:ascii="宋体" w:hAnsi="宋体" w:eastAsia="宋体" w:cs="宋体"/>
      <w:sz w:val="44"/>
      <w:szCs w:val="4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82"/>
      <w:ind w:left="1517" w:hanging="421"/>
    </w:pPr>
  </w:style>
  <w:style w:type="paragraph" w:customStyle="1" w:styleId="11">
    <w:name w:val="Table Paragraph"/>
    <w:basedOn w:val="1"/>
    <w:qFormat/>
    <w:uiPriority w:val="1"/>
    <w:pPr>
      <w:spacing w:before="41"/>
    </w:pPr>
  </w:style>
  <w:style w:type="character" w:customStyle="1" w:styleId="12">
    <w:name w:val="页眉 Char"/>
    <w:basedOn w:val="8"/>
    <w:link w:val="5"/>
    <w:qFormat/>
    <w:uiPriority w:val="99"/>
    <w:rPr>
      <w:rFonts w:ascii="Arial" w:hAnsi="Arial" w:eastAsia="Arial" w:cs="Arial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Arial" w:hAnsi="Arial" w:eastAsia="Arial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</Words>
  <Characters>1225</Characters>
  <Lines>1</Lines>
  <Paragraphs>1</Paragraphs>
  <TotalTime>3</TotalTime>
  <ScaleCrop>false</ScaleCrop>
  <LinksUpToDate>false</LinksUpToDate>
  <CharactersWithSpaces>1368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2023-09-05T12:29:00Z</dcterms:created>
  <dc:creator>sunjun</dc:creator>
  <cp:lastModifiedBy>零度べ情商等于zero</cp:lastModifiedBy>
  <cp:lastPrinted>2023-09-05T12:31:00Z</cp:lastPrinted>
  <dcterms:modified xsi:type="dcterms:W3CDTF">2024-05-29T06:35:17Z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2023-09-05T00:00:00Z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65A0B14D19EC4788BBA878C2FA67D149_12</vt:lpwstr>
  </property>
</Properties>
</file>