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0" w:name="OLE_LINK2"/>
      <w:bookmarkStart w:id="1" w:name="OLE_LINK1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SPECIFICATIONS</w:t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20"/>
          <w:szCs w:val="20"/>
        </w:rPr>
      </w:pPr>
    </w:p>
    <w:p>
      <w:pPr>
        <w:jc w:val="center"/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  <w:r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  <w:drawing>
          <wp:inline distT="0" distB="0" distL="114300" distR="114300">
            <wp:extent cx="6661150" cy="4679315"/>
            <wp:effectExtent l="0" t="0" r="6350" b="6985"/>
            <wp:docPr id="5" name="图片 5" descr="72333496667968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33349666796846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A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HC-8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8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0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0 Series</w:t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 xml:space="preserve">Armored HDMI 2.0 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D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-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D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AOC</w:t>
      </w:r>
    </w:p>
    <w:p>
      <w:pP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Descriptions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Our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armored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HDMI Active Hybrid Cable is the most competitive long reach HDMI interconnection solution on the market. It supports HDMI Data Rate 6Gbps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per channel ,total 18Gbps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with light weight, flexible and ultra-small long-term bending radius (45mm)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advanced optical engine embedded. This HDMI Hybrid Cable provides full HDMI signal integrity, support up to 100m maximum length, plug and play. No external power required.</w:t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Key Features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2" w:name="OLE_LINK22"/>
      <w:bookmarkStart w:id="3" w:name="OLE_LINK21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Up to 100m Maximum Length</w:t>
      </w:r>
      <w:bookmarkEnd w:id="2"/>
      <w:bookmarkEnd w:id="3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;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Available)</w:t>
      </w:r>
      <w:bookmarkStart w:id="4" w:name="OLE_LINK13"/>
      <w:bookmarkStart w:id="5" w:name="OLE_LINK15"/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4"/>
      <w:bookmarkEnd w:id="5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Low Power Consumption: 250mW (max);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 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Plug and Play;</w:t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2.0 standard;</w:t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Start w:id="6" w:name="OLE_LINK49"/>
      <w:bookmarkStart w:id="7" w:name="OLE_LINK48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6"/>
      <w:bookmarkEnd w:id="7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1.4/2.2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;</w:t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Support ARC , CEC&amp; HEC;</w:t>
      </w:r>
      <w:bookmarkStart w:id="16" w:name="_GoBack"/>
      <w:bookmarkEnd w:id="16"/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Self-detecting function for EDID information;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8" w:name="OLE_LINK24"/>
      <w:bookmarkStart w:id="9" w:name="OLE_LINK23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8"/>
      <w:bookmarkEnd w:id="9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instantly;</w:t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computer resolutions to 1080P and 4K2K(60P);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Hybrid optical cable with fiber and copper wire;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 xml:space="preserve">◆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Crush Resistance: Long term100kg; Short term 200kg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.</w:t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Applications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0" w:name="OLE_LINK14"/>
      <w:bookmarkStart w:id="11" w:name="OLE_LINK25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0"/>
      <w:bookmarkEnd w:id="11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2" w:name="OLE_LINK17"/>
      <w:bookmarkStart w:id="13" w:name="OLE_LINK16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2"/>
      <w:bookmarkEnd w:id="13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12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4" w:name="OLE_LINK28"/>
            <w:bookmarkStart w:id="15" w:name="OLE_LINK29"/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4"/>
            <w:bookmarkEnd w:id="15"/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12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12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after="75" w:line="240" w:lineRule="atLeast"/>
              <w:jc w:val="center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  <w:lang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Receiver (Sink)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6 Gbps/x3Channel (max)+ Clock.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Supported</w:t>
            </w:r>
          </w:p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PC: WUXGA 1920 x 1200 up to 100 meters，HDTV : 480p, 720p, 1080i and 1080p deep color, 4K(60P), 3DFull HD 1920 x 1080 up to 100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HDMI type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– HDMI type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Armored 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15m/20m/30m/40m/50m/60m/70m/80m/90m/100m (with +/-30cm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5.8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Weight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Color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250mW (max)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Non external power required 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HDMI Type A Pin Assignment</w:t>
      </w:r>
    </w:p>
    <w:p>
      <w:pPr>
        <w:autoSpaceDE w:val="0"/>
        <w:autoSpaceDN w:val="0"/>
        <w:adjustRightInd w:val="0"/>
        <w:ind w:left="803" w:hanging="802" w:hangingChars="350"/>
        <w:jc w:val="center"/>
        <w:rPr>
          <w:rFonts w:ascii="Arial" w:hAnsi="Arial" w:eastAsia="微软雅黑" w:cs="Arial"/>
          <w:b/>
          <w:bCs/>
          <w:spacing w:val="15"/>
          <w:w w:val="95"/>
          <w:kern w:val="0"/>
          <w:szCs w:val="21"/>
        </w:rPr>
      </w:pPr>
      <w:r>
        <w:rPr>
          <w:rFonts w:ascii="Arial" w:hAnsi="Arial" w:eastAsia="微软雅黑" w:cs="Arial"/>
          <w:b/>
          <w:bCs/>
          <w:spacing w:val="15"/>
          <w:w w:val="95"/>
          <w:kern w:val="0"/>
          <w:szCs w:val="21"/>
        </w:rPr>
        <w:t>HDMI Type A Connector Pin Assignment</w:t>
      </w:r>
    </w:p>
    <w:p>
      <w:pPr>
        <w:autoSpaceDE w:val="0"/>
        <w:autoSpaceDN w:val="0"/>
        <w:adjustRightInd w:val="0"/>
        <w:ind w:left="803" w:hanging="802" w:hangingChars="350"/>
        <w:jc w:val="center"/>
        <w:rPr>
          <w:rFonts w:ascii="Arial" w:hAnsi="Arial" w:eastAsia="微软雅黑" w:cs="Arial"/>
          <w:b/>
          <w:bCs/>
          <w:spacing w:val="15"/>
          <w:w w:val="95"/>
          <w:kern w:val="0"/>
          <w:szCs w:val="21"/>
        </w:rPr>
      </w:pPr>
    </w:p>
    <w:tbl>
      <w:tblPr>
        <w:tblStyle w:val="25"/>
        <w:tblW w:w="86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3638"/>
        <w:gridCol w:w="866"/>
        <w:gridCol w:w="31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2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0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tabs>
                <w:tab w:val="center" w:pos="1696"/>
              </w:tabs>
              <w:spacing w:line="382" w:lineRule="exact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2+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TMDS Clock Shield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TMDS Clock-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2-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CEC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1+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Utility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1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SCL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1-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SDA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0+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DDC/CEC Ground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+5V Power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T.M.D.S. Data 0-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Hot Plug Detect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  <w:t>TMDS Clock+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</w:tr>
    </w:tbl>
    <w:p>
      <w:pPr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autoSpaceDE w:val="0"/>
        <w:autoSpaceDN w:val="0"/>
        <w:adjustRightInd w:val="0"/>
        <w:ind w:left="980" w:hanging="980" w:hangingChars="35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>
      <w:pPr>
        <w:jc w:val="left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-287655</wp:posOffset>
            </wp:positionH>
            <wp:positionV relativeFrom="paragraph">
              <wp:posOffset>182245</wp:posOffset>
            </wp:positionV>
            <wp:extent cx="3007360" cy="830580"/>
            <wp:effectExtent l="30480" t="129540" r="48260" b="144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00000">
                      <a:off x="0" y="0"/>
                      <a:ext cx="30073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3559810</wp:posOffset>
            </wp:positionH>
            <wp:positionV relativeFrom="paragraph">
              <wp:posOffset>94615</wp:posOffset>
            </wp:positionV>
            <wp:extent cx="3007360" cy="843915"/>
            <wp:effectExtent l="0" t="0" r="254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569" cy="84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ind w:left="721" w:leftChars="200" w:hanging="301" w:hangingChars="15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To Source, ex. DVD, PC                                                To Sink, ex. TV</w:t>
      </w:r>
    </w:p>
    <w:p>
      <w:pPr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Hybrid Cable Profile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142240</wp:posOffset>
            </wp:positionV>
            <wp:extent cx="3002280" cy="1859915"/>
            <wp:effectExtent l="0" t="0" r="762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447040</wp:posOffset>
            </wp:positionV>
            <wp:extent cx="2724785" cy="904875"/>
            <wp:effectExtent l="0" t="0" r="0" b="9525"/>
            <wp:wrapNone/>
            <wp:docPr id="13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l="28793" t="16415" r="25533" b="48622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bookmarkEnd w:id="0"/>
    <w:bookmarkEnd w:id="1"/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</w:p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659245" cy="2376170"/>
            <wp:effectExtent l="0" t="0" r="8255" b="5080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2376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</w:p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Ordering Information</w:t>
      </w:r>
    </w:p>
    <w:tbl>
      <w:tblPr>
        <w:tblStyle w:val="12"/>
        <w:tblW w:w="10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-010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-015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-020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20m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-025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25m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-030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-040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40m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-050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-060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60m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-070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70m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-080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80m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-090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90m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SAHC-88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-100</w:t>
            </w:r>
          </w:p>
        </w:tc>
        <w:tc>
          <w:tcPr>
            <w:tcW w:w="8060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Armored HDMI 2.0 AOC 4K/2K@60Hz, Sup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ort EDID/HDCP,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100m</w:t>
            </w:r>
          </w:p>
        </w:tc>
      </w:tr>
    </w:tbl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</w:p>
    <w:sectPr>
      <w:headerReference r:id="rId3" w:type="default"/>
      <w:footerReference r:id="rId4" w:type="default"/>
      <w:pgSz w:w="11906" w:h="16838"/>
      <w:pgMar w:top="1418" w:right="707" w:bottom="1134" w:left="709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rial" w:hAnsi="Arial" w:eastAsia="新宋体" w:cs="Arial"/>
        <w:color w:val="FFC000"/>
        <w:sz w:val="20"/>
        <w:szCs w:val="20"/>
      </w:rPr>
    </w:pPr>
    <w:r>
      <w:rPr>
        <w:rFonts w:ascii="Arial" w:hAnsi="Arial" w:eastAsia="微软雅黑" w:cs="Arial"/>
        <w:b/>
        <w:i/>
        <w:color w:val="FFC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6661150" cy="2540"/>
              <wp:effectExtent l="0" t="0" r="25400" b="3556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15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6pt;height:0.2pt;width:524.5pt;mso-position-horizontal-relative:margin;z-index:251665408;mso-width-relative:page;mso-height-relative:page;" filled="f" stroked="t" coordsize="21600,21600" o:gfxdata="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O9Ag9UAAAAJAQAADwAAAAAAAAABACAAAAAiAAAA&#10;ZHJzL2Rvd25yZXYueG1sUEsBAhQAFAAAAAgAh07iQPyfp67RAQAAcAMAAA4AAAAAAAAAAQAgAAAA&#10;JAEAAGRycy9lMm9Eb2MueG1sUEsFBgAAAAAGAAYAWQEAAGc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eastAsia="新宋体" w:cs="Arial"/>
        <w:color w:val="FFC000"/>
        <w:sz w:val="20"/>
        <w:szCs w:val="20"/>
      </w:rPr>
      <w:t>E-like Industrial (H</w:t>
    </w:r>
    <w:r>
      <w:rPr>
        <w:rFonts w:hint="eastAsia" w:ascii="Arial" w:hAnsi="Arial" w:eastAsia="新宋体" w:cs="Arial"/>
        <w:color w:val="FFC000"/>
        <w:sz w:val="20"/>
        <w:szCs w:val="20"/>
      </w:rPr>
      <w:t>K</w:t>
    </w:r>
    <w:r>
      <w:rPr>
        <w:rFonts w:ascii="Arial" w:hAnsi="Arial" w:eastAsia="新宋体" w:cs="Arial"/>
        <w:color w:val="FFC000"/>
        <w:sz w:val="20"/>
        <w:szCs w:val="20"/>
      </w:rPr>
      <w:t>) L</w:t>
    </w:r>
    <w:r>
      <w:rPr>
        <w:rFonts w:hint="eastAsia" w:ascii="Arial" w:hAnsi="Arial" w:eastAsia="新宋体" w:cs="Arial"/>
        <w:color w:val="FFC000"/>
        <w:sz w:val="20"/>
        <w:szCs w:val="20"/>
      </w:rPr>
      <w:t>TD.</w:t>
    </w:r>
    <w:r>
      <w:rPr>
        <w:rFonts w:ascii="Arial" w:hAnsi="Arial" w:eastAsia="新宋体" w:cs="Arial"/>
        <w:color w:val="FFC000"/>
        <w:sz w:val="20"/>
        <w:szCs w:val="20"/>
      </w:rPr>
      <w:t xml:space="preserve">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</w:rPr>
      <w:t>3200789</w:t>
    </w:r>
  </w:p>
  <w:p>
    <w:pPr>
      <w:pStyle w:val="5"/>
      <w:rPr>
        <w:rFonts w:ascii="Arial" w:hAnsi="Arial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</w:rPr>
      <w:t>1</w:t>
    </w:r>
    <w:r>
      <w:rPr>
        <w:rFonts w:ascii="Arial" w:hAnsi="Arial" w:eastAsia="新宋体" w:cs="Arial"/>
        <w:color w:val="000000"/>
        <w:sz w:val="20"/>
        <w:szCs w:val="20"/>
      </w:rPr>
      <w:t>.0</w:t>
    </w:r>
  </w:p>
  <w:p>
    <w:pPr>
      <w:pStyle w:val="5"/>
      <w:jc w:val="right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微软雅黑" w:hAnsi="微软雅黑" w:eastAsia="微软雅黑"/>
        <w:b/>
        <w:color w:val="70AD47" w:themeColor="accent6"/>
        <w:sz w:val="28"/>
        <w:szCs w:val="28"/>
        <w14:textFill>
          <w14:solidFill>
            <w14:schemeClr w14:val="accent6"/>
          </w14:solidFill>
        </w14:textFill>
      </w:rPr>
    </w:pPr>
    <w:r>
      <w:rPr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-105410</wp:posOffset>
          </wp:positionV>
          <wp:extent cx="1299210" cy="494030"/>
          <wp:effectExtent l="0" t="0" r="0" b="127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210" cy="49403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ascii="微软雅黑" w:hAnsi="微软雅黑" w:eastAsia="微软雅黑"/>
        <w:b/>
        <w:color w:val="70AD47" w:themeColor="accent6"/>
        <w:sz w:val="28"/>
        <w:szCs w:val="28"/>
        <w14:textFill>
          <w14:solidFill>
            <w14:schemeClr w14:val="accent6"/>
          </w14:solidFill>
        </w14:textFill>
      </w:rPr>
      <w:t>SAHC-88</w:t>
    </w:r>
    <w:r>
      <w:rPr>
        <w:rFonts w:hint="eastAsia" w:ascii="微软雅黑" w:hAnsi="微软雅黑" w:eastAsia="微软雅黑"/>
        <w:b/>
        <w:color w:val="70AD47" w:themeColor="accent6"/>
        <w:sz w:val="28"/>
        <w:szCs w:val="28"/>
        <w:lang w:val="en-US" w:eastAsia="zh-CN"/>
        <w14:textFill>
          <w14:solidFill>
            <w14:schemeClr w14:val="accent6"/>
          </w14:solidFill>
        </w14:textFill>
      </w:rPr>
      <w:t>0</w:t>
    </w:r>
    <w:r>
      <w:rPr>
        <w:rFonts w:ascii="微软雅黑" w:hAnsi="微软雅黑" w:eastAsia="微软雅黑"/>
        <w:b/>
        <w:color w:val="70AD47" w:themeColor="accent6"/>
        <w:sz w:val="28"/>
        <w:szCs w:val="28"/>
        <w14:textFill>
          <w14:solidFill>
            <w14:schemeClr w14:val="accent6"/>
          </w14:solidFill>
        </w14:textFill>
      </w:rPr>
      <w:t>0 Series</w:t>
    </w:r>
  </w:p>
  <w:p>
    <w:pPr>
      <w:pStyle w:val="6"/>
      <w:pBdr>
        <w:bottom w:val="none" w:color="auto" w:sz="0" w:space="0"/>
      </w:pBdr>
      <w:wordWrap w:val="0"/>
      <w:jc w:val="right"/>
      <w:rPr>
        <w:rFonts w:ascii="微软雅黑" w:hAnsi="微软雅黑" w:eastAsia="微软雅黑"/>
        <w:b/>
        <w:color w:val="70AD47" w:themeColor="accent6"/>
        <w:sz w:val="20"/>
        <w:szCs w:val="20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:sz w:val="20"/>
        <w:szCs w:val="20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8JKlNQAAAAHAQAADwAAAAAAAAABACAAAAAiAAAA&#10;ZHJzL2Rvd25yZXYueG1sUEsBAhQAFAAAAAgAh07iQFrovGDSAQAAcgMAAA4AAAAAAAAAAQAgAAAA&#10;IwEAAGRycy9lMm9Eb2MueG1sUEsFBgAAAAAGAAYAWQEAAGc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:sz w:val="20"/>
        <w:szCs w:val="20"/>
        <w14:textFill>
          <w14:solidFill>
            <w14:schemeClr w14:val="accent6"/>
          </w14:solidFill>
        </w14:textFill>
      </w:rPr>
      <w:t xml:space="preserve">Armored </w:t>
    </w:r>
    <w:r>
      <w:rPr>
        <w:rFonts w:ascii="微软雅黑" w:hAnsi="微软雅黑" w:eastAsia="微软雅黑"/>
        <w:b/>
        <w:color w:val="70AD47" w:themeColor="accent6"/>
        <w:sz w:val="20"/>
        <w:szCs w:val="20"/>
        <w14:textFill>
          <w14:solidFill>
            <w14:schemeClr w14:val="accent6"/>
          </w14:solidFill>
        </w14:textFill>
      </w:rPr>
      <w:t xml:space="preserve">HDMI 2.0 </w:t>
    </w:r>
    <w:r>
      <w:rPr>
        <w:rFonts w:hint="eastAsia" w:ascii="微软雅黑" w:hAnsi="微软雅黑" w:eastAsia="微软雅黑"/>
        <w:b/>
        <w:color w:val="70AD47" w:themeColor="accent6"/>
        <w:sz w:val="20"/>
        <w:szCs w:val="20"/>
        <w:lang w:val="en-US" w:eastAsia="zh-CN"/>
        <w14:textFill>
          <w14:solidFill>
            <w14:schemeClr w14:val="accent6"/>
          </w14:solidFill>
        </w14:textFill>
      </w:rPr>
      <w:t>D</w:t>
    </w:r>
    <w:r>
      <w:rPr>
        <w:rFonts w:ascii="微软雅黑" w:hAnsi="微软雅黑" w:eastAsia="微软雅黑"/>
        <w:b/>
        <w:color w:val="70AD47" w:themeColor="accent6"/>
        <w:sz w:val="20"/>
        <w:szCs w:val="20"/>
        <w14:textFill>
          <w14:solidFill>
            <w14:schemeClr w14:val="accent6"/>
          </w14:solidFill>
        </w14:textFill>
      </w:rPr>
      <w:t>-D 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56F80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617"/>
    <w:rsid w:val="003167C4"/>
    <w:rsid w:val="00316AD1"/>
    <w:rsid w:val="003234F7"/>
    <w:rsid w:val="00326878"/>
    <w:rsid w:val="00333964"/>
    <w:rsid w:val="003451A0"/>
    <w:rsid w:val="003454DA"/>
    <w:rsid w:val="0035752A"/>
    <w:rsid w:val="00377DE3"/>
    <w:rsid w:val="0039137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4D71"/>
    <w:rsid w:val="00405D7F"/>
    <w:rsid w:val="00415715"/>
    <w:rsid w:val="004203A3"/>
    <w:rsid w:val="00425B24"/>
    <w:rsid w:val="0044521D"/>
    <w:rsid w:val="004463F9"/>
    <w:rsid w:val="00447075"/>
    <w:rsid w:val="004638A6"/>
    <w:rsid w:val="00463F48"/>
    <w:rsid w:val="00464ED1"/>
    <w:rsid w:val="004741A1"/>
    <w:rsid w:val="00474E94"/>
    <w:rsid w:val="004823DC"/>
    <w:rsid w:val="00487CB6"/>
    <w:rsid w:val="004A3675"/>
    <w:rsid w:val="004A4E49"/>
    <w:rsid w:val="004B0709"/>
    <w:rsid w:val="004C6ACA"/>
    <w:rsid w:val="004C6F81"/>
    <w:rsid w:val="0050083A"/>
    <w:rsid w:val="0050641D"/>
    <w:rsid w:val="00510136"/>
    <w:rsid w:val="005113B2"/>
    <w:rsid w:val="00513A16"/>
    <w:rsid w:val="00532554"/>
    <w:rsid w:val="0053322C"/>
    <w:rsid w:val="00541002"/>
    <w:rsid w:val="005422AC"/>
    <w:rsid w:val="00547A02"/>
    <w:rsid w:val="00553304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252B6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6D50A2"/>
    <w:rsid w:val="00702D5B"/>
    <w:rsid w:val="007154C9"/>
    <w:rsid w:val="00715602"/>
    <w:rsid w:val="007251FB"/>
    <w:rsid w:val="00740BD7"/>
    <w:rsid w:val="00742AF4"/>
    <w:rsid w:val="0074493F"/>
    <w:rsid w:val="00747394"/>
    <w:rsid w:val="007504DF"/>
    <w:rsid w:val="00751758"/>
    <w:rsid w:val="00776E9D"/>
    <w:rsid w:val="00797658"/>
    <w:rsid w:val="007B0848"/>
    <w:rsid w:val="007D04F7"/>
    <w:rsid w:val="007D2D21"/>
    <w:rsid w:val="007E0C6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E67DC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57FDB"/>
    <w:rsid w:val="00961B49"/>
    <w:rsid w:val="00964C41"/>
    <w:rsid w:val="0096653E"/>
    <w:rsid w:val="009B022D"/>
    <w:rsid w:val="009F0CE9"/>
    <w:rsid w:val="00A02934"/>
    <w:rsid w:val="00A0692E"/>
    <w:rsid w:val="00A10BB7"/>
    <w:rsid w:val="00A17CFD"/>
    <w:rsid w:val="00A32E84"/>
    <w:rsid w:val="00A51648"/>
    <w:rsid w:val="00A621D8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40A2"/>
    <w:rsid w:val="00AE650F"/>
    <w:rsid w:val="00AF02E9"/>
    <w:rsid w:val="00B04765"/>
    <w:rsid w:val="00B10F3D"/>
    <w:rsid w:val="00B1323E"/>
    <w:rsid w:val="00B17FF3"/>
    <w:rsid w:val="00B3591E"/>
    <w:rsid w:val="00B369E8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0FE7"/>
    <w:rsid w:val="00C26673"/>
    <w:rsid w:val="00C40D3F"/>
    <w:rsid w:val="00C4495D"/>
    <w:rsid w:val="00C61204"/>
    <w:rsid w:val="00C715A7"/>
    <w:rsid w:val="00C72096"/>
    <w:rsid w:val="00C72266"/>
    <w:rsid w:val="00C82C7F"/>
    <w:rsid w:val="00C83158"/>
    <w:rsid w:val="00C93FEC"/>
    <w:rsid w:val="00CA0C81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4E9"/>
    <w:rsid w:val="00D23DBC"/>
    <w:rsid w:val="00D527BC"/>
    <w:rsid w:val="00D60258"/>
    <w:rsid w:val="00D61A59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86709"/>
    <w:rsid w:val="00EB4E7A"/>
    <w:rsid w:val="00EB7A45"/>
    <w:rsid w:val="00EC25F5"/>
    <w:rsid w:val="00ED27EE"/>
    <w:rsid w:val="00EE2F77"/>
    <w:rsid w:val="00EF11D6"/>
    <w:rsid w:val="00F03DCE"/>
    <w:rsid w:val="00F24FDF"/>
    <w:rsid w:val="00F26DD9"/>
    <w:rsid w:val="00F27D29"/>
    <w:rsid w:val="00F354C4"/>
    <w:rsid w:val="00F42CE0"/>
    <w:rsid w:val="00F674AF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3F560A1"/>
    <w:rsid w:val="04532FE0"/>
    <w:rsid w:val="07761C38"/>
    <w:rsid w:val="0AFB7DF9"/>
    <w:rsid w:val="0CCB7BD8"/>
    <w:rsid w:val="0E2419E7"/>
    <w:rsid w:val="11C8646D"/>
    <w:rsid w:val="136119B4"/>
    <w:rsid w:val="15220746"/>
    <w:rsid w:val="173B6991"/>
    <w:rsid w:val="177F4102"/>
    <w:rsid w:val="1DEE4162"/>
    <w:rsid w:val="1F92011F"/>
    <w:rsid w:val="20B6145F"/>
    <w:rsid w:val="24A50376"/>
    <w:rsid w:val="25EC61BF"/>
    <w:rsid w:val="2A922974"/>
    <w:rsid w:val="2D7841DA"/>
    <w:rsid w:val="310E10A7"/>
    <w:rsid w:val="3F4D0A0B"/>
    <w:rsid w:val="430C1133"/>
    <w:rsid w:val="468F5AE6"/>
    <w:rsid w:val="469C563F"/>
    <w:rsid w:val="4986400B"/>
    <w:rsid w:val="49FC7324"/>
    <w:rsid w:val="4CFD3F66"/>
    <w:rsid w:val="4DBF1B01"/>
    <w:rsid w:val="50771C3F"/>
    <w:rsid w:val="51A91238"/>
    <w:rsid w:val="51E7632D"/>
    <w:rsid w:val="51FD5544"/>
    <w:rsid w:val="5207255E"/>
    <w:rsid w:val="55640FBC"/>
    <w:rsid w:val="574C6101"/>
    <w:rsid w:val="576F280D"/>
    <w:rsid w:val="5888490B"/>
    <w:rsid w:val="5A756C8F"/>
    <w:rsid w:val="5C8C4AAA"/>
    <w:rsid w:val="5EDD600C"/>
    <w:rsid w:val="5F2D79A0"/>
    <w:rsid w:val="610E7AA1"/>
    <w:rsid w:val="61232AB6"/>
    <w:rsid w:val="653B05DF"/>
    <w:rsid w:val="68926034"/>
    <w:rsid w:val="6898124F"/>
    <w:rsid w:val="68E82800"/>
    <w:rsid w:val="695A0062"/>
    <w:rsid w:val="6C4904F4"/>
    <w:rsid w:val="6CA11B8A"/>
    <w:rsid w:val="6F8B26DF"/>
    <w:rsid w:val="6FB127DC"/>
    <w:rsid w:val="77934619"/>
    <w:rsid w:val="779E6E05"/>
    <w:rsid w:val="77EB7382"/>
    <w:rsid w:val="79EE6EC8"/>
    <w:rsid w:val="79F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8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">
    <w:name w:val="Pa3"/>
    <w:basedOn w:val="16"/>
    <w:next w:val="16"/>
    <w:qFormat/>
    <w:uiPriority w:val="99"/>
    <w:pPr>
      <w:spacing w:line="201" w:lineRule="atLeast"/>
    </w:pPr>
    <w:rPr>
      <w:color w:val="auto"/>
    </w:rPr>
  </w:style>
  <w:style w:type="character" w:customStyle="1" w:styleId="18">
    <w:name w:val="A6"/>
    <w:qFormat/>
    <w:uiPriority w:val="99"/>
    <w:rPr>
      <w:color w:val="000000"/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paragraph" w:customStyle="1" w:styleId="20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3">
    <w:name w:val="标题 1 Char"/>
    <w:basedOn w:val="8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4">
    <w:name w:val="批注框文本 Char"/>
    <w:basedOn w:val="8"/>
    <w:link w:val="4"/>
    <w:semiHidden/>
    <w:qFormat/>
    <w:uiPriority w:val="99"/>
    <w:rPr>
      <w:sz w:val="18"/>
      <w:szCs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0E517E-44D7-40ED-916B-6BFE48147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610</Words>
  <Characters>3478</Characters>
  <Lines>28</Lines>
  <Paragraphs>8</Paragraphs>
  <ScaleCrop>false</ScaleCrop>
  <LinksUpToDate>false</LinksUpToDate>
  <CharactersWithSpaces>4080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Administrator</cp:lastModifiedBy>
  <cp:lastPrinted>2019-05-29T08:28:00Z</cp:lastPrinted>
  <dcterms:modified xsi:type="dcterms:W3CDTF">2019-09-20T07:54:34Z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